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D596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72"/>
          <w:highlight w:val="none"/>
        </w:rPr>
        <w:t>太仓市政府采购</w:t>
      </w:r>
    </w:p>
    <w:p w14:paraId="1187AAA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72"/>
          <w:highlight w:val="none"/>
        </w:rPr>
        <w:t> </w:t>
      </w:r>
    </w:p>
    <w:p w14:paraId="2E74245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hint="eastAsia" w:ascii="宋体" w:hAnsi="宋体" w:eastAsia="宋体" w:cs="宋体"/>
          <w:b/>
          <w:kern w:val="0"/>
          <w:sz w:val="72"/>
          <w:highlight w:val="none"/>
        </w:rPr>
        <w:t xml:space="preserve">单 一 </w:t>
      </w:r>
      <w:r>
        <w:rPr>
          <w:rFonts w:ascii="宋体" w:hAnsi="宋体" w:eastAsia="宋体" w:cs="宋体"/>
          <w:b/>
          <w:kern w:val="0"/>
          <w:sz w:val="72"/>
          <w:highlight w:val="none"/>
        </w:rPr>
        <w:t>来</w:t>
      </w:r>
      <w:r>
        <w:rPr>
          <w:rFonts w:hint="eastAsia" w:ascii="宋体" w:hAnsi="宋体" w:eastAsia="宋体" w:cs="宋体"/>
          <w:b/>
          <w:kern w:val="0"/>
          <w:sz w:val="72"/>
          <w:highlight w:val="none"/>
        </w:rPr>
        <w:t xml:space="preserve"> </w:t>
      </w:r>
      <w:r>
        <w:rPr>
          <w:rFonts w:ascii="宋体" w:hAnsi="宋体" w:eastAsia="宋体" w:cs="宋体"/>
          <w:b/>
          <w:kern w:val="0"/>
          <w:sz w:val="72"/>
          <w:highlight w:val="none"/>
        </w:rPr>
        <w:t>源 文 件</w:t>
      </w:r>
    </w:p>
    <w:p w14:paraId="443E50D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kern w:val="0"/>
          <w:highlight w:val="none"/>
        </w:rPr>
        <w:t> </w:t>
      </w:r>
    </w:p>
    <w:p w14:paraId="4282EAE2">
      <w:pPr>
        <w:widowControl/>
        <w:pBdr>
          <w:top w:val="none" w:color="000000" w:sz="0" w:space="0"/>
          <w:left w:val="none" w:color="000000" w:sz="0" w:space="0"/>
          <w:bottom w:val="none" w:color="000000" w:sz="0" w:space="0"/>
          <w:right w:val="none" w:color="000000" w:sz="0" w:space="0"/>
        </w:pBdr>
        <w:spacing w:line="85" w:lineRule="atLeast"/>
        <w:ind w:firstLine="630"/>
        <w:rPr>
          <w:rFonts w:ascii="Arial" w:hAnsi="Arial" w:eastAsia="Arial" w:cs="Times New Roman"/>
          <w:kern w:val="0"/>
          <w:sz w:val="22"/>
          <w:highlight w:val="none"/>
        </w:rPr>
      </w:pPr>
      <w:r>
        <w:rPr>
          <w:rFonts w:ascii="宋体" w:hAnsi="宋体" w:eastAsia="宋体" w:cs="宋体"/>
          <w:kern w:val="0"/>
          <w:highlight w:val="none"/>
        </w:rPr>
        <w:t> </w:t>
      </w:r>
    </w:p>
    <w:p w14:paraId="6C877B2F">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highlight w:val="none"/>
        </w:rPr>
      </w:pPr>
      <w:r>
        <w:rPr>
          <w:rFonts w:ascii="宋体" w:hAnsi="宋体" w:eastAsia="宋体" w:cs="宋体"/>
          <w:kern w:val="0"/>
          <w:highlight w:val="none"/>
        </w:rPr>
        <w:t> </w:t>
      </w:r>
    </w:p>
    <w:p w14:paraId="3C97E2B9">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highlight w:val="none"/>
        </w:rPr>
      </w:pPr>
      <w:r>
        <w:rPr>
          <w:rFonts w:ascii="宋体" w:hAnsi="宋体" w:eastAsia="宋体" w:cs="宋体"/>
          <w:kern w:val="0"/>
          <w:highlight w:val="none"/>
        </w:rPr>
        <w:t> </w:t>
      </w:r>
    </w:p>
    <w:p w14:paraId="5BC3799B">
      <w:pPr>
        <w:widowControl/>
        <w:pBdr>
          <w:top w:val="none" w:color="000000" w:sz="0" w:space="0"/>
          <w:left w:val="none" w:color="000000" w:sz="0" w:space="0"/>
          <w:bottom w:val="none" w:color="000000" w:sz="0" w:space="0"/>
          <w:right w:val="none" w:color="000000" w:sz="0" w:space="0"/>
        </w:pBdr>
        <w:spacing w:line="85" w:lineRule="atLeast"/>
        <w:jc w:val="right"/>
        <w:rPr>
          <w:rFonts w:ascii="Arial" w:hAnsi="Arial" w:eastAsia="Arial" w:cs="Times New Roman"/>
          <w:kern w:val="0"/>
          <w:sz w:val="22"/>
          <w:highlight w:val="none"/>
        </w:rPr>
      </w:pPr>
      <w:r>
        <w:rPr>
          <w:rFonts w:ascii="宋体" w:hAnsi="宋体" w:eastAsia="宋体" w:cs="宋体"/>
          <w:kern w:val="0"/>
          <w:sz w:val="32"/>
          <w:highlight w:val="none"/>
        </w:rPr>
        <w:t> </w:t>
      </w:r>
    </w:p>
    <w:p w14:paraId="74EE6C91">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eastAsia="宋体" w:cs="宋体"/>
          <w:b/>
          <w:kern w:val="0"/>
          <w:sz w:val="36"/>
          <w:highlight w:val="none"/>
          <w:lang w:eastAsia="zh-CN"/>
        </w:rPr>
      </w:pPr>
      <w:r>
        <w:rPr>
          <w:rFonts w:ascii="宋体" w:hAnsi="宋体" w:eastAsia="宋体" w:cs="宋体"/>
          <w:b/>
          <w:kern w:val="0"/>
          <w:sz w:val="36"/>
          <w:highlight w:val="none"/>
        </w:rPr>
        <w:t>项目编号：</w:t>
      </w:r>
      <w:r>
        <w:rPr>
          <w:rFonts w:hint="eastAsia" w:ascii="宋体" w:hAnsi="宋体" w:eastAsia="宋体" w:cs="宋体"/>
          <w:b/>
          <w:kern w:val="0"/>
          <w:sz w:val="36"/>
          <w:highlight w:val="none"/>
          <w:lang w:eastAsia="zh-CN"/>
        </w:rPr>
        <w:t>JSZC-320585-JZCG-D2025-0147</w:t>
      </w:r>
    </w:p>
    <w:p w14:paraId="626BC829">
      <w:pPr>
        <w:widowControl/>
        <w:pBdr>
          <w:top w:val="none" w:color="000000" w:sz="0" w:space="0"/>
          <w:left w:val="none" w:color="000000" w:sz="0" w:space="0"/>
          <w:bottom w:val="none" w:color="000000" w:sz="0" w:space="0"/>
          <w:right w:val="none" w:color="000000" w:sz="0" w:space="0"/>
        </w:pBdr>
        <w:spacing w:line="580" w:lineRule="exact"/>
        <w:ind w:firstLine="1084"/>
        <w:rPr>
          <w:rFonts w:ascii="宋体" w:hAnsi="宋体" w:eastAsia="宋体" w:cs="宋体"/>
          <w:b/>
          <w:kern w:val="0"/>
          <w:sz w:val="36"/>
          <w:highlight w:val="none"/>
        </w:rPr>
      </w:pPr>
      <w:r>
        <w:rPr>
          <w:rFonts w:ascii="宋体" w:hAnsi="宋体" w:eastAsia="宋体" w:cs="宋体"/>
          <w:b/>
          <w:kern w:val="0"/>
          <w:sz w:val="36"/>
          <w:highlight w:val="none"/>
        </w:rPr>
        <w:t>项目名称：</w:t>
      </w:r>
      <w:r>
        <w:rPr>
          <w:rFonts w:hint="eastAsia" w:ascii="宋体" w:hAnsi="宋体" w:eastAsia="宋体" w:cs="宋体"/>
          <w:b/>
          <w:kern w:val="0"/>
          <w:sz w:val="36"/>
          <w:highlight w:val="none"/>
          <w:lang w:eastAsia="zh-CN"/>
        </w:rPr>
        <w:t>网络运维和安全服务项目</w:t>
      </w:r>
    </w:p>
    <w:p w14:paraId="42214B35">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Arial" w:hAnsi="Arial" w:eastAsia="宋体" w:cs="Times New Roman"/>
          <w:kern w:val="0"/>
          <w:sz w:val="22"/>
          <w:highlight w:val="none"/>
          <w:lang w:eastAsia="zh-CN"/>
        </w:rPr>
      </w:pPr>
      <w:r>
        <w:rPr>
          <w:rFonts w:ascii="宋体" w:hAnsi="宋体" w:eastAsia="宋体" w:cs="宋体"/>
          <w:b/>
          <w:kern w:val="0"/>
          <w:sz w:val="36"/>
          <w:highlight w:val="none"/>
        </w:rPr>
        <w:t>采购单位：</w:t>
      </w:r>
      <w:r>
        <w:rPr>
          <w:rFonts w:hint="eastAsia" w:ascii="宋体" w:hAnsi="宋体" w:eastAsia="宋体" w:cs="宋体"/>
          <w:b/>
          <w:kern w:val="0"/>
          <w:sz w:val="36"/>
          <w:highlight w:val="none"/>
          <w:lang w:eastAsia="zh-CN"/>
        </w:rPr>
        <w:t>太仓市数据局</w:t>
      </w:r>
    </w:p>
    <w:p w14:paraId="1593AE8B">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highlight w:val="none"/>
        </w:rPr>
      </w:pPr>
      <w:r>
        <w:rPr>
          <w:rFonts w:ascii="宋体" w:hAnsi="宋体" w:eastAsia="宋体" w:cs="宋体"/>
          <w:b/>
          <w:kern w:val="0"/>
          <w:sz w:val="36"/>
          <w:highlight w:val="none"/>
        </w:rPr>
        <w:t>采购项目类别：服务类</w:t>
      </w:r>
    </w:p>
    <w:p w14:paraId="1BD2DD7D">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highlight w:val="none"/>
        </w:rPr>
      </w:pPr>
      <w:r>
        <w:rPr>
          <w:rFonts w:ascii="宋体" w:hAnsi="宋体" w:eastAsia="宋体" w:cs="宋体"/>
          <w:b/>
          <w:kern w:val="0"/>
          <w:sz w:val="36"/>
          <w:highlight w:val="none"/>
        </w:rPr>
        <w:t>标的所属行业：</w:t>
      </w:r>
      <w:r>
        <w:rPr>
          <w:rFonts w:hint="eastAsia" w:ascii="宋体" w:hAnsi="宋体" w:eastAsia="宋体" w:cs="宋体"/>
          <w:b/>
          <w:kern w:val="0"/>
          <w:sz w:val="36"/>
          <w:highlight w:val="none"/>
        </w:rPr>
        <w:t>软件和信息技术服务业</w:t>
      </w:r>
    </w:p>
    <w:p w14:paraId="338EB748">
      <w:pPr>
        <w:widowControl/>
        <w:pBdr>
          <w:top w:val="none" w:color="000000" w:sz="0" w:space="0"/>
          <w:left w:val="none" w:color="000000" w:sz="0" w:space="0"/>
          <w:bottom w:val="none" w:color="000000" w:sz="0" w:space="0"/>
          <w:right w:val="none" w:color="000000" w:sz="0" w:space="0"/>
        </w:pBdr>
        <w:spacing w:line="580" w:lineRule="exact"/>
        <w:rPr>
          <w:rFonts w:ascii="宋体" w:hAnsi="宋体" w:eastAsia="宋体" w:cs="宋体"/>
          <w:kern w:val="0"/>
          <w:sz w:val="28"/>
          <w:highlight w:val="none"/>
        </w:rPr>
      </w:pPr>
      <w:r>
        <w:rPr>
          <w:rFonts w:ascii="宋体" w:hAnsi="宋体" w:eastAsia="宋体" w:cs="宋体"/>
          <w:kern w:val="0"/>
          <w:sz w:val="28"/>
          <w:highlight w:val="none"/>
        </w:rPr>
        <w:t> </w:t>
      </w:r>
    </w:p>
    <w:p w14:paraId="48381082">
      <w:pPr>
        <w:spacing w:after="200" w:line="276" w:lineRule="auto"/>
        <w:rPr>
          <w:rFonts w:ascii="宋体" w:hAnsi="宋体" w:eastAsia="宋体" w:cs="宋体"/>
          <w:sz w:val="28"/>
          <w:szCs w:val="18"/>
          <w:highlight w:val="none"/>
        </w:rPr>
      </w:pPr>
    </w:p>
    <w:p w14:paraId="3D6708D6">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highlight w:val="none"/>
        </w:rPr>
      </w:pPr>
      <w:r>
        <w:rPr>
          <w:rFonts w:ascii="宋体" w:hAnsi="宋体" w:eastAsia="宋体" w:cs="宋体"/>
          <w:kern w:val="0"/>
          <w:sz w:val="44"/>
          <w:highlight w:val="none"/>
        </w:rPr>
        <w:t> 苏州市公共资源交易中心太仓分中心</w:t>
      </w:r>
    </w:p>
    <w:p w14:paraId="21BF48B7">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highlight w:val="none"/>
        </w:rPr>
      </w:pPr>
      <w:r>
        <w:rPr>
          <w:rFonts w:hint="eastAsia" w:ascii="宋体" w:hAnsi="宋体" w:eastAsia="宋体" w:cs="宋体"/>
          <w:kern w:val="0"/>
          <w:sz w:val="44"/>
          <w:highlight w:val="none"/>
        </w:rPr>
        <w:t>2025年</w:t>
      </w:r>
      <w:r>
        <w:rPr>
          <w:rFonts w:hint="eastAsia" w:ascii="宋体" w:hAnsi="宋体" w:eastAsia="宋体" w:cs="宋体"/>
          <w:kern w:val="0"/>
          <w:sz w:val="44"/>
          <w:highlight w:val="none"/>
          <w:lang w:val="en-US" w:eastAsia="zh-CN"/>
        </w:rPr>
        <w:t>11</w:t>
      </w:r>
      <w:r>
        <w:rPr>
          <w:rFonts w:hint="eastAsia" w:ascii="宋体" w:hAnsi="宋体" w:eastAsia="宋体" w:cs="宋体"/>
          <w:kern w:val="0"/>
          <w:sz w:val="44"/>
          <w:highlight w:val="none"/>
        </w:rPr>
        <w:t>月</w:t>
      </w:r>
      <w:r>
        <w:rPr>
          <w:rFonts w:ascii="宋体" w:hAnsi="宋体" w:eastAsia="宋体" w:cs="宋体"/>
          <w:kern w:val="0"/>
          <w:sz w:val="44"/>
          <w:highlight w:val="none"/>
        </w:rPr>
        <w:br w:type="page" w:clear="all"/>
      </w:r>
    </w:p>
    <w:p w14:paraId="6CE22E0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kern w:val="0"/>
          <w:sz w:val="30"/>
          <w:highlight w:val="none"/>
        </w:rPr>
      </w:pPr>
      <w:r>
        <w:rPr>
          <w:rFonts w:ascii="宋体" w:hAnsi="宋体" w:eastAsia="宋体" w:cs="宋体"/>
          <w:b/>
          <w:kern w:val="0"/>
          <w:sz w:val="36"/>
          <w:highlight w:val="none"/>
        </w:rPr>
        <w:t>目</w:t>
      </w:r>
      <w:r>
        <w:rPr>
          <w:rFonts w:hint="eastAsia" w:ascii="宋体" w:hAnsi="宋体" w:eastAsia="宋体" w:cs="宋体"/>
          <w:b/>
          <w:kern w:val="0"/>
          <w:sz w:val="36"/>
          <w:highlight w:val="none"/>
        </w:rPr>
        <w:t xml:space="preserve"> </w:t>
      </w:r>
      <w:r>
        <w:rPr>
          <w:rFonts w:ascii="宋体" w:hAnsi="宋体" w:eastAsia="宋体" w:cs="宋体"/>
          <w:b/>
          <w:kern w:val="0"/>
          <w:sz w:val="36"/>
          <w:highlight w:val="none"/>
        </w:rPr>
        <w:t>录</w:t>
      </w:r>
    </w:p>
    <w:p w14:paraId="0A659CF3">
      <w:pPr>
        <w:snapToGrid w:val="0"/>
        <w:spacing w:after="200" w:line="276" w:lineRule="auto"/>
        <w:rPr>
          <w:rFonts w:ascii="宋体" w:hAnsi="宋体" w:eastAsia="宋体" w:cs="宋体"/>
          <w:sz w:val="30"/>
          <w:szCs w:val="24"/>
          <w:highlight w:val="none"/>
        </w:rPr>
      </w:pPr>
    </w:p>
    <w:p w14:paraId="0ABD272B">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第一部分 单一来源采购邀请函</w:t>
      </w:r>
    </w:p>
    <w:p w14:paraId="78F62AF5">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第二部分 单一来源采购文件需求</w:t>
      </w:r>
    </w:p>
    <w:p w14:paraId="757655F5">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第三部分 单一来源采购程序</w:t>
      </w:r>
    </w:p>
    <w:p w14:paraId="2EB3E898">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第四部分 成交原则</w:t>
      </w:r>
    </w:p>
    <w:p w14:paraId="6714B015">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第五部分 合同条款</w:t>
      </w:r>
    </w:p>
    <w:p w14:paraId="64F849A0">
      <w:pPr>
        <w:widowControl/>
        <w:spacing w:after="200" w:line="360" w:lineRule="auto"/>
        <w:ind w:firstLine="720" w:firstLineChars="200"/>
        <w:jc w:val="left"/>
        <w:rPr>
          <w:rFonts w:ascii="宋体" w:hAnsi="宋体" w:eastAsia="Arial" w:cs="Times New Roman"/>
          <w:kern w:val="0"/>
          <w:sz w:val="36"/>
          <w:highlight w:val="none"/>
          <w:lang w:eastAsia="en-US"/>
        </w:rPr>
      </w:pPr>
      <w:r>
        <w:rPr>
          <w:rFonts w:hint="eastAsia" w:ascii="宋体" w:hAnsi="宋体" w:eastAsia="Arial" w:cs="Times New Roman"/>
          <w:kern w:val="0"/>
          <w:sz w:val="36"/>
          <w:highlight w:val="none"/>
          <w:lang w:eastAsia="en-US"/>
        </w:rPr>
        <w:t>第六部分 响应文件格式</w:t>
      </w:r>
    </w:p>
    <w:p w14:paraId="17576CBB">
      <w:pPr>
        <w:snapToGrid w:val="0"/>
        <w:spacing w:after="200" w:line="276" w:lineRule="auto"/>
        <w:rPr>
          <w:rFonts w:ascii="宋体" w:hAnsi="宋体" w:eastAsia="宋体" w:cs="宋体"/>
          <w:sz w:val="30"/>
          <w:szCs w:val="24"/>
          <w:highlight w:val="none"/>
        </w:rPr>
      </w:pPr>
    </w:p>
    <w:p w14:paraId="35EF9188">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5A7AE56F">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26E23157">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5E58CA26">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5786CB77">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1F1FA31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r>
        <w:rPr>
          <w:rFonts w:ascii="Arial" w:hAnsi="Arial" w:eastAsia="Arial" w:cs="Times New Roman"/>
          <w:kern w:val="0"/>
          <w:sz w:val="22"/>
          <w:highlight w:val="none"/>
        </w:rPr>
        <w:br w:type="page" w:clear="all"/>
      </w:r>
    </w:p>
    <w:p w14:paraId="15DF23FD">
      <w:pPr>
        <w:widowControl/>
        <w:numPr>
          <w:ilvl w:val="0"/>
          <w:numId w:val="6"/>
        </w:numPr>
        <w:pBdr>
          <w:top w:val="none" w:color="000000" w:sz="0" w:space="0"/>
          <w:left w:val="none" w:color="000000" w:sz="0" w:space="0"/>
          <w:bottom w:val="none" w:color="000000" w:sz="0" w:space="0"/>
          <w:right w:val="none" w:color="000000" w:sz="0" w:space="0"/>
        </w:pBdr>
        <w:spacing w:before="240" w:after="240" w:line="276" w:lineRule="auto"/>
        <w:jc w:val="center"/>
        <w:rPr>
          <w:rFonts w:ascii="宋体" w:hAnsi="宋体" w:eastAsia="宋体" w:cs="宋体"/>
          <w:b/>
          <w:kern w:val="0"/>
          <w:sz w:val="44"/>
          <w:highlight w:val="none"/>
        </w:rPr>
      </w:pPr>
      <w:r>
        <w:rPr>
          <w:rFonts w:hint="eastAsia" w:ascii="宋体" w:hAnsi="宋体" w:eastAsia="宋体" w:cs="宋体"/>
          <w:b/>
          <w:kern w:val="0"/>
          <w:sz w:val="44"/>
          <w:highlight w:val="none"/>
        </w:rPr>
        <w:t>单一来源采购邀请函</w:t>
      </w:r>
    </w:p>
    <w:p w14:paraId="507B00D9">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太仓市</w:t>
      </w:r>
      <w:r>
        <w:rPr>
          <w:rFonts w:hint="eastAsia" w:ascii="仿宋" w:hAnsi="仿宋" w:eastAsia="仿宋" w:cs="仿宋"/>
          <w:kern w:val="0"/>
          <w:sz w:val="24"/>
          <w:szCs w:val="24"/>
          <w:highlight w:val="none"/>
          <w:lang w:val="en-US" w:eastAsia="zh-CN"/>
        </w:rPr>
        <w:t>大数据有限公司</w:t>
      </w:r>
      <w:r>
        <w:rPr>
          <w:rFonts w:hint="eastAsia" w:ascii="仿宋" w:hAnsi="仿宋" w:eastAsia="仿宋" w:cs="仿宋"/>
          <w:kern w:val="0"/>
          <w:sz w:val="24"/>
          <w:szCs w:val="24"/>
          <w:highlight w:val="none"/>
        </w:rPr>
        <w:t>：</w:t>
      </w:r>
    </w:p>
    <w:tbl>
      <w:tblPr>
        <w:tblStyle w:val="2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2CFC056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13C403EC">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项目概况</w:t>
            </w:r>
          </w:p>
          <w:p w14:paraId="6E172BED">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网络运维和安全服务项目</w:t>
            </w:r>
            <w:r>
              <w:rPr>
                <w:rFonts w:hint="eastAsia" w:ascii="仿宋" w:hAnsi="仿宋" w:eastAsia="仿宋" w:cs="仿宋"/>
                <w:kern w:val="0"/>
                <w:sz w:val="24"/>
                <w:szCs w:val="24"/>
                <w:highlight w:val="none"/>
              </w:rPr>
              <w:t> </w:t>
            </w:r>
            <w:r>
              <w:rPr>
                <w:rFonts w:hint="eastAsia" w:ascii="仿宋" w:hAnsi="仿宋" w:eastAsia="仿宋" w:cs="仿宋"/>
                <w:kern w:val="0"/>
                <w:sz w:val="24"/>
                <w:szCs w:val="24"/>
                <w:highlight w:val="none"/>
                <w:lang w:eastAsia="zh-CN"/>
              </w:rPr>
              <w:t>JSZC-320585-JZCG-D2025-0147</w:t>
            </w:r>
            <w:r>
              <w:rPr>
                <w:rFonts w:hint="eastAsia" w:ascii="仿宋" w:hAnsi="仿宋" w:eastAsia="仿宋" w:cs="仿宋"/>
                <w:kern w:val="0"/>
                <w:sz w:val="24"/>
                <w:szCs w:val="24"/>
                <w:highlight w:val="none"/>
              </w:rPr>
              <w:t>招标项目的潜在投标人应在“苏采云”系统（网址：http://jszfcg.jsczt.cn/）自行下载 获取招标文件，并于</w:t>
            </w:r>
            <w:r>
              <w:rPr>
                <w:rFonts w:hint="eastAsia" w:ascii="仿宋" w:hAnsi="仿宋" w:eastAsia="仿宋" w:cs="仿宋"/>
                <w:kern w:val="0"/>
                <w:sz w:val="24"/>
                <w:szCs w:val="24"/>
                <w:highlight w:val="none"/>
                <w:lang w:eastAsia="zh-CN"/>
              </w:rPr>
              <w:t>2025-</w:t>
            </w:r>
            <w:r>
              <w:rPr>
                <w:rFonts w:hint="eastAsia" w:ascii="仿宋" w:hAnsi="仿宋" w:eastAsia="仿宋" w:cs="仿宋"/>
                <w:kern w:val="0"/>
                <w:sz w:val="24"/>
                <w:szCs w:val="24"/>
                <w:highlight w:val="none"/>
                <w:lang w:val="en-US" w:eastAsia="zh-CN"/>
              </w:rPr>
              <w:t>11</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13</w:t>
            </w:r>
            <w:r>
              <w:rPr>
                <w:rFonts w:hint="eastAsia" w:ascii="仿宋" w:hAnsi="仿宋" w:eastAsia="仿宋" w:cs="仿宋"/>
                <w:kern w:val="0"/>
                <w:sz w:val="24"/>
                <w:szCs w:val="24"/>
                <w:highlight w:val="none"/>
              </w:rPr>
              <w:t xml:space="preserve"> 09:30 （北京时间）前递交投标文件。</w:t>
            </w:r>
          </w:p>
        </w:tc>
      </w:tr>
    </w:tbl>
    <w:p w14:paraId="4DA5EDD1">
      <w:pPr>
        <w:shd w:val="clear" w:color="auto" w:fill="FFFFFF"/>
        <w:spacing w:line="23" w:lineRule="atLeast"/>
        <w:outlineLvl w:val="1"/>
        <w:rPr>
          <w:rFonts w:ascii="宋体" w:hAnsi="宋体" w:eastAsia="宋体" w:cs="宋体"/>
          <w:sz w:val="34"/>
          <w:highlight w:val="none"/>
        </w:rPr>
      </w:pPr>
      <w:r>
        <w:rPr>
          <w:rFonts w:ascii="黑体" w:hAnsi="宋体" w:eastAsia="黑体" w:cs="黑体"/>
          <w:b/>
          <w:sz w:val="28"/>
          <w:szCs w:val="28"/>
          <w:highlight w:val="none"/>
          <w:shd w:val="clear" w:color="auto" w:fill="FFFFFF"/>
        </w:rPr>
        <w:t>一、项目基本情况</w:t>
      </w:r>
    </w:p>
    <w:p w14:paraId="65DEE1CA">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项目编号：</w:t>
      </w:r>
      <w:r>
        <w:rPr>
          <w:rFonts w:hint="eastAsia" w:ascii="仿宋" w:hAnsi="仿宋" w:eastAsia="仿宋" w:cs="仿宋"/>
          <w:kern w:val="0"/>
          <w:sz w:val="24"/>
          <w:szCs w:val="24"/>
          <w:highlight w:val="none"/>
          <w:lang w:eastAsia="zh-CN"/>
        </w:rPr>
        <w:t>JSZC-320585-JZCG-D2025-0147</w:t>
      </w:r>
    </w:p>
    <w:p w14:paraId="32FA80AD">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项目名称：</w:t>
      </w:r>
      <w:r>
        <w:rPr>
          <w:rFonts w:hint="eastAsia" w:ascii="仿宋" w:hAnsi="仿宋" w:eastAsia="仿宋" w:cs="仿宋"/>
          <w:kern w:val="0"/>
          <w:sz w:val="24"/>
          <w:szCs w:val="24"/>
          <w:highlight w:val="none"/>
          <w:lang w:eastAsia="zh-CN"/>
        </w:rPr>
        <w:t>网络运维和安全服务项目</w:t>
      </w:r>
      <w:r>
        <w:rPr>
          <w:rFonts w:hint="eastAsia" w:ascii="仿宋" w:hAnsi="仿宋" w:eastAsia="仿宋" w:cs="仿宋"/>
          <w:kern w:val="0"/>
          <w:sz w:val="24"/>
          <w:szCs w:val="24"/>
          <w:highlight w:val="none"/>
        </w:rPr>
        <w:t> </w:t>
      </w:r>
    </w:p>
    <w:p w14:paraId="2CA0CF83">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预算金额：</w:t>
      </w:r>
      <w:r>
        <w:rPr>
          <w:rFonts w:hint="eastAsia" w:ascii="仿宋" w:hAnsi="仿宋" w:eastAsia="仿宋" w:cs="仿宋"/>
          <w:kern w:val="0"/>
          <w:sz w:val="24"/>
          <w:szCs w:val="24"/>
          <w:highlight w:val="none"/>
          <w:lang w:val="en-US" w:eastAsia="zh-CN"/>
        </w:rPr>
        <w:t>1603</w:t>
      </w:r>
      <w:r>
        <w:rPr>
          <w:rFonts w:hint="eastAsia" w:ascii="仿宋" w:hAnsi="仿宋" w:eastAsia="仿宋" w:cs="仿宋"/>
          <w:kern w:val="0"/>
          <w:sz w:val="24"/>
          <w:szCs w:val="24"/>
          <w:highlight w:val="none"/>
        </w:rPr>
        <w:t>万元 </w:t>
      </w:r>
    </w:p>
    <w:p w14:paraId="08CBF83A">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最高限价（如有）：</w:t>
      </w:r>
      <w:r>
        <w:rPr>
          <w:rFonts w:hint="eastAsia" w:ascii="仿宋" w:hAnsi="仿宋" w:eastAsia="仿宋" w:cs="仿宋"/>
          <w:kern w:val="0"/>
          <w:sz w:val="24"/>
          <w:szCs w:val="24"/>
          <w:highlight w:val="none"/>
          <w:lang w:val="en-US" w:eastAsia="zh-CN"/>
        </w:rPr>
        <w:t>1603</w:t>
      </w:r>
      <w:r>
        <w:rPr>
          <w:rFonts w:hint="eastAsia" w:ascii="仿宋" w:hAnsi="仿宋" w:eastAsia="仿宋" w:cs="仿宋"/>
          <w:kern w:val="0"/>
          <w:sz w:val="24"/>
          <w:szCs w:val="24"/>
          <w:highlight w:val="none"/>
        </w:rPr>
        <w:t>万元</w:t>
      </w:r>
    </w:p>
    <w:p w14:paraId="104086D9">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采购方式：单一来源 </w:t>
      </w:r>
    </w:p>
    <w:p w14:paraId="332F3F25">
      <w:pPr>
        <w:pStyle w:val="8"/>
        <w:pageBreakBefore w:val="0"/>
        <w:kinsoku/>
        <w:wordWrap/>
        <w:overflowPunct/>
        <w:topLinePunct w:val="0"/>
        <w:autoSpaceDE/>
        <w:autoSpaceDN/>
        <w:bidi w:val="0"/>
        <w:adjustRightInd/>
        <w:snapToGrid/>
        <w:spacing w:line="460" w:lineRule="exact"/>
        <w:ind w:left="0" w:leftChars="0" w:firstLine="0" w:firstLineChars="0"/>
        <w:textAlignment w:val="auto"/>
        <w:rPr>
          <w:rFonts w:hint="default" w:ascii="仿宋" w:hAnsi="仿宋" w:eastAsia="仿宋" w:cs="仿宋"/>
          <w:kern w:val="0"/>
          <w:sz w:val="24"/>
          <w:szCs w:val="24"/>
          <w:highlight w:val="none"/>
          <w:lang w:val="en-US"/>
        </w:rPr>
      </w:pPr>
      <w:r>
        <w:rPr>
          <w:rFonts w:hint="eastAsia" w:ascii="仿宋" w:hAnsi="仿宋" w:eastAsia="仿宋" w:cs="仿宋"/>
          <w:kern w:val="0"/>
          <w:sz w:val="24"/>
          <w:szCs w:val="24"/>
          <w:highlight w:val="none"/>
        </w:rPr>
        <w:t>采购需求：</w:t>
      </w:r>
      <w:r>
        <w:rPr>
          <w:rFonts w:hint="eastAsia" w:ascii="仿宋" w:hAnsi="仿宋" w:eastAsia="仿宋" w:cs="仿宋"/>
          <w:sz w:val="24"/>
          <w:szCs w:val="24"/>
        </w:rPr>
        <w:t>为保障政府信息系统安全稳定运行，计划采购电子政务外网设备更新、维保及驻场服务；电子政务外网和政务信息系统安全防护；政务信息系统数据定时备份和异地容灾备份；电子政务外网乡镇覆盖服务；专网、专用系统机柜租赁服务。</w:t>
      </w:r>
    </w:p>
    <w:p w14:paraId="6D0C7421">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具体内容详见第三部分项目需求</w:t>
      </w:r>
    </w:p>
    <w:p w14:paraId="63091456">
      <w:pPr>
        <w:pStyle w:val="8"/>
        <w:pageBreakBefore w:val="0"/>
        <w:kinsoku/>
        <w:wordWrap/>
        <w:overflowPunct/>
        <w:topLinePunct w:val="0"/>
        <w:autoSpaceDE/>
        <w:autoSpaceDN/>
        <w:bidi w:val="0"/>
        <w:adjustRightInd/>
        <w:snapToGrid/>
        <w:spacing w:line="460" w:lineRule="exact"/>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合同履行期限：为自签订合同之日起一年。</w:t>
      </w:r>
    </w:p>
    <w:p w14:paraId="50F83273">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本项目（是/否）接受联合体投标：</w:t>
      </w:r>
      <w:bookmarkStart w:id="1" w:name="_GoBack"/>
      <w:bookmarkEnd w:id="1"/>
      <w:r>
        <w:rPr>
          <w:rFonts w:hint="eastAsia" w:ascii="仿宋" w:hAnsi="仿宋" w:eastAsia="仿宋" w:cs="仿宋"/>
          <w:kern w:val="0"/>
          <w:sz w:val="24"/>
          <w:szCs w:val="24"/>
          <w:highlight w:val="none"/>
        </w:rPr>
        <w:t>不接受联合体</w:t>
      </w:r>
    </w:p>
    <w:p w14:paraId="43C8317E">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二、申请人的资格要求</w:t>
      </w:r>
    </w:p>
    <w:p w14:paraId="0908720F">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（一）满足《中华人民共和国政府采购法》第二十二条规定；</w:t>
      </w:r>
    </w:p>
    <w:p w14:paraId="26048CC0">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1.具有独立承担民事责任的能力证明。包括法人或者其他组织的营业执照等证明文件，自然人的身份证明；</w:t>
      </w:r>
    </w:p>
    <w:p w14:paraId="0B6A91B0">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2.具有良好的商业信誉和健全的财务会计制度证明。</w:t>
      </w:r>
    </w:p>
    <w:p w14:paraId="391A3B95">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3.具备履行合同所必需的设备和专业技术能力的证明材料或承诺；</w:t>
      </w:r>
    </w:p>
    <w:p w14:paraId="0661A71E">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4.依法缴纳税收和社会保障资金的相关资料；</w:t>
      </w:r>
    </w:p>
    <w:p w14:paraId="28DF5A3C">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5.参加政府采购活动前三年内在经营活动中没有重大违法记录的书面声明函；</w:t>
      </w:r>
    </w:p>
    <w:p w14:paraId="620D2F0A">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6.法律、行政法规规定的其他条件</w:t>
      </w:r>
    </w:p>
    <w:p w14:paraId="5474C90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（二）落实政府采购政策需满足的资格要求：</w:t>
      </w:r>
    </w:p>
    <w:p w14:paraId="52A98DD0">
      <w:pPr>
        <w:widowControl/>
        <w:pBdr>
          <w:top w:val="none" w:color="000000" w:sz="0" w:space="0"/>
          <w:left w:val="none" w:color="000000" w:sz="0" w:space="0"/>
          <w:bottom w:val="none" w:color="000000" w:sz="0" w:space="0"/>
          <w:right w:val="none" w:color="000000" w:sz="0" w:space="0"/>
        </w:pBdr>
        <w:spacing w:after="0" w:line="480" w:lineRule="atLeast"/>
        <w:jc w:val="left"/>
        <w:rPr>
          <w:rFonts w:ascii="仿宋" w:hAnsi="仿宋" w:eastAsia="仿宋" w:cs="仿宋"/>
          <w:kern w:val="0"/>
          <w:sz w:val="24"/>
          <w:szCs w:val="24"/>
          <w:highlight w:val="none"/>
        </w:rPr>
      </w:pPr>
      <w:r>
        <w:rPr>
          <w:rFonts w:hint="eastAsia" w:ascii="仿宋" w:hAnsi="仿宋" w:eastAsia="仿宋" w:cs="仿宋"/>
          <w:color w:val="auto"/>
          <w:kern w:val="0"/>
          <w:sz w:val="24"/>
          <w:szCs w:val="24"/>
          <w:highlight w:val="none"/>
          <w:lang w:val="en-US" w:eastAsia="zh-CN"/>
        </w:rPr>
        <w:t>本项目专门面向中小企业采购，投标人必须提供《中小企业声明函》或《残疾人福利性单位声明函》或由省级以上监狱管理局、戒毒管理局（含新疆生产建设兵团）出具的属于监狱企业的证明文件。</w:t>
      </w:r>
    </w:p>
    <w:p w14:paraId="07A27163">
      <w:pPr>
        <w:pStyle w:val="22"/>
        <w:numPr>
          <w:ilvl w:val="0"/>
          <w:numId w:val="7"/>
        </w:numPr>
        <w:spacing w:beforeAutospacing="0" w:afterAutospacing="0" w:line="480" w:lineRule="atLeast"/>
        <w:rPr>
          <w:rFonts w:ascii="仿宋" w:hAnsi="仿宋" w:eastAsia="仿宋" w:cs="仿宋"/>
          <w:kern w:val="0"/>
          <w:sz w:val="24"/>
          <w:highlight w:val="none"/>
        </w:rPr>
      </w:pPr>
      <w:r>
        <w:rPr>
          <w:rFonts w:hint="eastAsia" w:ascii="仿宋" w:hAnsi="仿宋" w:eastAsia="仿宋" w:cs="仿宋"/>
          <w:kern w:val="0"/>
          <w:sz w:val="24"/>
          <w:highlight w:val="none"/>
        </w:rPr>
        <w:t>本项目的特定资格要求：</w:t>
      </w:r>
    </w:p>
    <w:p w14:paraId="3C344BFC">
      <w:pPr>
        <w:pStyle w:val="22"/>
        <w:spacing w:beforeAutospacing="0" w:afterAutospacing="0" w:line="480" w:lineRule="atLeast"/>
        <w:jc w:val="left"/>
        <w:rPr>
          <w:rFonts w:ascii="仿宋" w:hAnsi="仿宋" w:eastAsia="仿宋" w:cs="仿宋"/>
          <w:kern w:val="0"/>
          <w:sz w:val="24"/>
          <w:highlight w:val="none"/>
        </w:rPr>
      </w:pPr>
      <w:r>
        <w:rPr>
          <w:rFonts w:hint="eastAsia" w:ascii="仿宋" w:hAnsi="仿宋" w:eastAsia="仿宋" w:cs="仿宋"/>
          <w:kern w:val="0"/>
          <w:sz w:val="24"/>
          <w:highlight w:val="none"/>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5A53DB93">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（四）拒绝下述供应商参加本次采购活动：</w:t>
      </w:r>
    </w:p>
    <w:p w14:paraId="7C070D16">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1、供应商单位负责人为同一人或者存在直接控股、管理关系的不同供应商，不得参加同一合同项下的政府采购活动。</w:t>
      </w:r>
    </w:p>
    <w:p w14:paraId="705263C1">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2、凡为采购项目提供整体设计、规范编制或者项目管理、监理、检测等服务的供应商，不得再参加本项目的采购活动。</w:t>
      </w:r>
    </w:p>
    <w:p w14:paraId="3B5A862B">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3、法人的分支机构不得参加投标（除银行、保险、石油石化、电力、电信等行业特殊情况外）</w:t>
      </w:r>
    </w:p>
    <w:p w14:paraId="7860FDE9">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C2E450A">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三、获取招标文件</w:t>
      </w:r>
    </w:p>
    <w:p w14:paraId="459E1C7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时间：</w:t>
      </w:r>
      <w:r>
        <w:rPr>
          <w:rFonts w:hint="eastAsia" w:ascii="仿宋" w:hAnsi="仿宋" w:eastAsia="仿宋" w:cs="仿宋"/>
          <w:kern w:val="0"/>
          <w:sz w:val="24"/>
          <w:szCs w:val="24"/>
          <w:highlight w:val="none"/>
          <w:lang w:eastAsia="zh-CN"/>
        </w:rPr>
        <w:t>自招标文件公告发布之日起</w:t>
      </w: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lang w:eastAsia="zh-CN"/>
        </w:rPr>
        <w:t>个工作日</w:t>
      </w:r>
    </w:p>
    <w:p w14:paraId="71D04272">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地点：“苏采云”系统（网址：http://jszfcg.jsczt.cn/）自行下载 </w:t>
      </w:r>
    </w:p>
    <w:p w14:paraId="591C3ABA">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方式：自行下载 </w:t>
      </w:r>
    </w:p>
    <w:p w14:paraId="5565060F">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售价：0.00元 </w:t>
      </w:r>
    </w:p>
    <w:p w14:paraId="7B33C759">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四、提交投标文件截止时间、开标时间和地点</w:t>
      </w:r>
    </w:p>
    <w:p w14:paraId="37E2092D">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lang w:eastAsia="zh-CN"/>
        </w:rPr>
        <w:t>2025-</w:t>
      </w:r>
      <w:r>
        <w:rPr>
          <w:rFonts w:hint="eastAsia" w:ascii="仿宋" w:hAnsi="仿宋" w:eastAsia="仿宋" w:cs="仿宋"/>
          <w:kern w:val="0"/>
          <w:sz w:val="24"/>
          <w:szCs w:val="24"/>
          <w:highlight w:val="none"/>
          <w:lang w:val="en-US" w:eastAsia="zh-CN"/>
        </w:rPr>
        <w:t>11</w:t>
      </w:r>
      <w:r>
        <w:rPr>
          <w:rFonts w:hint="eastAsia" w:ascii="仿宋" w:hAnsi="仿宋" w:eastAsia="仿宋" w:cs="仿宋"/>
          <w:kern w:val="0"/>
          <w:sz w:val="24"/>
          <w:szCs w:val="24"/>
          <w:highlight w:val="none"/>
          <w:lang w:eastAsia="zh-CN"/>
        </w:rPr>
        <w:t>-</w:t>
      </w:r>
      <w:r>
        <w:rPr>
          <w:rFonts w:hint="eastAsia" w:ascii="仿宋" w:hAnsi="仿宋" w:eastAsia="仿宋" w:cs="仿宋"/>
          <w:kern w:val="0"/>
          <w:sz w:val="24"/>
          <w:szCs w:val="24"/>
          <w:highlight w:val="none"/>
          <w:lang w:val="en-US" w:eastAsia="zh-CN"/>
        </w:rPr>
        <w:t>13</w:t>
      </w:r>
      <w:r>
        <w:rPr>
          <w:rFonts w:hint="eastAsia" w:ascii="仿宋" w:hAnsi="仿宋" w:eastAsia="仿宋" w:cs="仿宋"/>
          <w:kern w:val="0"/>
          <w:sz w:val="24"/>
          <w:szCs w:val="24"/>
          <w:highlight w:val="none"/>
        </w:rPr>
        <w:t xml:space="preserve"> 09:30 （北京时间）</w:t>
      </w:r>
    </w:p>
    <w:p w14:paraId="6FB9243B">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地点：苏采云系统 </w:t>
      </w:r>
    </w:p>
    <w:p w14:paraId="5373E227">
      <w:pPr>
        <w:shd w:val="clear" w:color="auto" w:fill="FFFFFF"/>
        <w:spacing w:line="23" w:lineRule="atLeast"/>
        <w:outlineLvl w:val="1"/>
        <w:rPr>
          <w:rFonts w:ascii="宋体" w:hAnsi="宋体" w:eastAsia="宋体" w:cs="宋体"/>
          <w:sz w:val="34"/>
          <w:highlight w:val="none"/>
        </w:rPr>
      </w:pPr>
      <w:r>
        <w:rPr>
          <w:rFonts w:hint="eastAsia" w:ascii="黑体" w:hAnsi="宋体" w:eastAsia="黑体" w:cs="黑体"/>
          <w:b/>
          <w:sz w:val="28"/>
          <w:szCs w:val="28"/>
          <w:highlight w:val="none"/>
          <w:shd w:val="clear" w:color="auto" w:fill="FFFFFF"/>
        </w:rPr>
        <w:t>五、公告期限</w:t>
      </w:r>
    </w:p>
    <w:p w14:paraId="42F7F799">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自本公告发布之日起5个工作日。</w:t>
      </w:r>
    </w:p>
    <w:p w14:paraId="05713A70">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六、其他补充事宜</w:t>
      </w:r>
    </w:p>
    <w:p w14:paraId="4D2B6FFF">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1、本项目需要使用CA数字证书制作、上传电子投标文件完成电子投标，请供应商在参加投标活动前办理好CA数字证书申领及电子签章等操作。</w:t>
      </w:r>
    </w:p>
    <w:p w14:paraId="069815D4">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B4F6F12">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ascii="仿宋" w:hAnsi="仿宋" w:eastAsia="仿宋" w:cs="仿宋"/>
          <w:b/>
          <w:sz w:val="24"/>
          <w:szCs w:val="24"/>
          <w:highlight w:val="none"/>
        </w:rPr>
        <w:t>3</w:t>
      </w:r>
      <w:r>
        <w:rPr>
          <w:rFonts w:hint="eastAsia" w:ascii="仿宋" w:hAnsi="仿宋" w:eastAsia="仿宋" w:cs="仿宋"/>
          <w:b/>
          <w:sz w:val="24"/>
          <w:szCs w:val="24"/>
          <w:highlight w:val="none"/>
        </w:rPr>
        <w:t>、本项目采用不见面开标，投标人开标时无需到开标现场进行解密，采取网上开标大厅解密电子投标文件，投标人远程解密要求如下：</w:t>
      </w:r>
    </w:p>
    <w:p w14:paraId="2BED6188">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50883975">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2）投标人登录苏采云系统，点击开标大厅，选择开标项目，完成不见面开标流程。</w:t>
      </w:r>
    </w:p>
    <w:p w14:paraId="74910A39">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3）投标截止时间后根据系统提示解密电子投标文件。</w:t>
      </w:r>
      <w:r>
        <w:rPr>
          <w:rFonts w:hint="eastAsia" w:ascii="仿宋" w:hAnsi="仿宋" w:eastAsia="仿宋" w:cs="仿宋"/>
          <w:b/>
          <w:sz w:val="24"/>
          <w:szCs w:val="24"/>
          <w:highlight w:val="none"/>
        </w:rPr>
        <w:t>解密时间为15分钟，</w:t>
      </w:r>
      <w:r>
        <w:rPr>
          <w:rFonts w:hint="eastAsia" w:ascii="仿宋" w:hAnsi="仿宋" w:eastAsia="仿宋" w:cs="仿宋"/>
          <w:sz w:val="24"/>
          <w:szCs w:val="24"/>
          <w:highlight w:val="none"/>
        </w:rPr>
        <w:t>未在规定时间内完成解密，其投标文件将被拒绝，不参与后续投标流程。</w:t>
      </w:r>
    </w:p>
    <w:p w14:paraId="67D82653">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776CC72A">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b/>
          <w:sz w:val="24"/>
          <w:szCs w:val="24"/>
          <w:highlight w:val="none"/>
        </w:rPr>
        <w:t>有关苏采云系统驱动安装，</w:t>
      </w:r>
      <w:r>
        <w:rPr>
          <w:rFonts w:hint="eastAsia" w:ascii="仿宋" w:hAnsi="仿宋" w:eastAsia="仿宋" w:cs="仿宋"/>
          <w:sz w:val="24"/>
          <w:szCs w:val="24"/>
          <w:highlight w:val="none"/>
        </w:rPr>
        <w:t>登录苏州政府采购网，点击页面底部苏采云图标，进入苏采云政府采购一体化平台，点击“驱动下载”，下载</w:t>
      </w:r>
      <w:r>
        <w:rPr>
          <w:rFonts w:hint="eastAsia" w:ascii="仿宋" w:hAnsi="仿宋" w:eastAsia="仿宋" w:cs="仿宋"/>
          <w:b/>
          <w:sz w:val="24"/>
          <w:szCs w:val="24"/>
          <w:highlight w:val="none"/>
        </w:rPr>
        <w:t>“政务CA、方正签章控件驱动安装包及安装说明”</w:t>
      </w:r>
      <w:r>
        <w:rPr>
          <w:rFonts w:hint="eastAsia" w:ascii="仿宋" w:hAnsi="仿宋" w:eastAsia="仿宋" w:cs="仿宋"/>
          <w:sz w:val="24"/>
          <w:szCs w:val="24"/>
          <w:highlight w:val="none"/>
        </w:rPr>
        <w:t>文件，按要求安装驱动。</w:t>
      </w:r>
    </w:p>
    <w:p w14:paraId="22F8A91E">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b/>
          <w:sz w:val="24"/>
          <w:szCs w:val="24"/>
          <w:highlight w:val="none"/>
        </w:rPr>
        <w:t>有关供应商注册、报名、下载电子招标文件、制作上传电子投标文件</w:t>
      </w:r>
      <w:r>
        <w:rPr>
          <w:rFonts w:hint="eastAsia" w:ascii="仿宋" w:hAnsi="仿宋" w:eastAsia="仿宋" w:cs="仿宋"/>
          <w:sz w:val="24"/>
          <w:szCs w:val="24"/>
          <w:highlight w:val="none"/>
        </w:rPr>
        <w:t>、不见面开标及其他注意事项登录苏州政府采购网，在“下载中心”栏目下载“</w:t>
      </w:r>
      <w:r>
        <w:rPr>
          <w:rFonts w:hint="eastAsia" w:ascii="仿宋" w:hAnsi="仿宋" w:eastAsia="仿宋" w:cs="仿宋"/>
          <w:b/>
          <w:sz w:val="24"/>
          <w:szCs w:val="24"/>
          <w:highlight w:val="none"/>
        </w:rPr>
        <w:t>苏采云系统供应商操作</w:t>
      </w:r>
      <w:r>
        <w:rPr>
          <w:rFonts w:hint="eastAsia" w:ascii="仿宋" w:hAnsi="仿宋" w:eastAsia="仿宋" w:cs="仿宋"/>
          <w:b/>
          <w:bCs/>
          <w:sz w:val="24"/>
          <w:szCs w:val="24"/>
          <w:highlight w:val="none"/>
        </w:rPr>
        <w:t>手册</w:t>
      </w:r>
      <w:r>
        <w:rPr>
          <w:rFonts w:hint="eastAsia" w:ascii="仿宋" w:hAnsi="仿宋" w:eastAsia="仿宋" w:cs="仿宋"/>
          <w:sz w:val="24"/>
          <w:szCs w:val="24"/>
          <w:highlight w:val="none"/>
        </w:rPr>
        <w:t>”查阅。</w:t>
      </w:r>
    </w:p>
    <w:p w14:paraId="00FBB5DD">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6、有关办理CA数字申领及电子签章事项，登录苏州政府采购网，点击页面底部苏采云图标，进入苏采云政府采购一体化平台，下载“新CA办理指南”文件查阅。</w:t>
      </w:r>
    </w:p>
    <w:p w14:paraId="5F9B9359">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7、有关电子投标制作技术疑问，请咨询苏采云软件公司客服：18261002950、0512-69820854、0519-86722802</w:t>
      </w:r>
    </w:p>
    <w:p w14:paraId="5878B893">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8、政府采购监督电话：0512-53512539</w:t>
      </w:r>
    </w:p>
    <w:p w14:paraId="33FAD89F">
      <w:pPr>
        <w:keepNext w:val="0"/>
        <w:keepLines w:val="0"/>
        <w:pageBreakBefore w:val="0"/>
        <w:widowControl/>
        <w:kinsoku/>
        <w:wordWrap/>
        <w:overflowPunct/>
        <w:topLinePunct w:val="0"/>
        <w:autoSpaceDE/>
        <w:autoSpaceDN/>
        <w:bidi w:val="0"/>
        <w:adjustRightInd/>
        <w:snapToGrid/>
        <w:spacing w:line="480" w:lineRule="exact"/>
        <w:textAlignment w:val="auto"/>
        <w:rPr>
          <w:rFonts w:ascii="仿宋" w:hAnsi="仿宋" w:eastAsia="仿宋" w:cs="仿宋"/>
          <w:sz w:val="24"/>
          <w:szCs w:val="24"/>
          <w:highlight w:val="none"/>
        </w:rPr>
      </w:pPr>
      <w:r>
        <w:rPr>
          <w:rFonts w:hint="eastAsia" w:ascii="仿宋" w:hAnsi="仿宋" w:eastAsia="仿宋" w:cs="仿宋"/>
          <w:sz w:val="24"/>
          <w:szCs w:val="24"/>
          <w:highlight w:val="none"/>
        </w:rPr>
        <w:t>9、本次招标投标保证金：本项目无须缴纳投标保证金。</w:t>
      </w:r>
    </w:p>
    <w:p w14:paraId="75EEBCCA">
      <w:pPr>
        <w:spacing w:line="480" w:lineRule="atLeast"/>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10、政府采购信用融资政策：中标供应商可凭政府采购合同办理融资贷款，详情请见江苏政府采购网“政采贷”专栏。</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39FFCC37">
      <w:pPr>
        <w:spacing w:line="480"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七、对本次招标提出询问，请按以下方式联系</w:t>
      </w:r>
    </w:p>
    <w:p w14:paraId="5D2FDC37">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1.采购人信息 </w:t>
      </w:r>
    </w:p>
    <w:p w14:paraId="62409E4A">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单位名称：</w:t>
      </w:r>
      <w:r>
        <w:rPr>
          <w:rFonts w:hint="eastAsia" w:ascii="仿宋" w:hAnsi="仿宋" w:eastAsia="仿宋" w:cs="仿宋"/>
          <w:kern w:val="0"/>
          <w:sz w:val="24"/>
          <w:szCs w:val="24"/>
          <w:highlight w:val="none"/>
          <w:lang w:eastAsia="zh-CN"/>
        </w:rPr>
        <w:t>太仓市数据局</w:t>
      </w:r>
    </w:p>
    <w:p w14:paraId="5F8655FE">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单位地址：太仓市县府东街99号</w:t>
      </w:r>
      <w:r>
        <w:rPr>
          <w:rFonts w:hint="eastAsia" w:ascii="仿宋" w:hAnsi="仿宋" w:eastAsia="仿宋" w:cs="仿宋"/>
          <w:kern w:val="0"/>
          <w:sz w:val="24"/>
          <w:szCs w:val="24"/>
          <w:highlight w:val="none"/>
          <w:lang w:val="en-US" w:eastAsia="zh-CN"/>
        </w:rPr>
        <w:t>3</w:t>
      </w:r>
      <w:r>
        <w:rPr>
          <w:rFonts w:hint="eastAsia" w:ascii="仿宋" w:hAnsi="仿宋" w:eastAsia="仿宋" w:cs="仿宋"/>
          <w:kern w:val="0"/>
          <w:sz w:val="24"/>
          <w:szCs w:val="24"/>
          <w:highlight w:val="none"/>
        </w:rPr>
        <w:t>号楼</w:t>
      </w:r>
    </w:p>
    <w:p w14:paraId="0E5A3A3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联系人：严建祥 </w:t>
      </w:r>
    </w:p>
    <w:p w14:paraId="623D1B2E">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联系电话 ：53595067</w:t>
      </w:r>
    </w:p>
    <w:p w14:paraId="2C61824C">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2.采购代理机构信息（如有）</w:t>
      </w:r>
    </w:p>
    <w:p w14:paraId="00D56301">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单位名称：苏州市公共资源交易中心太仓分中心</w:t>
      </w:r>
    </w:p>
    <w:p w14:paraId="3F62EA8A">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单位地址：太仓市陆渡街道万金北路88号3栋2楼</w:t>
      </w:r>
    </w:p>
    <w:p w14:paraId="3D46495B">
      <w:pPr>
        <w:widowControl/>
        <w:pBdr>
          <w:top w:val="none" w:color="000000" w:sz="0" w:space="0"/>
          <w:left w:val="none" w:color="000000" w:sz="0" w:space="0"/>
          <w:bottom w:val="none" w:color="000000" w:sz="0" w:space="0"/>
          <w:right w:val="none" w:color="000000" w:sz="0" w:space="0"/>
        </w:pBdr>
        <w:spacing w:line="480" w:lineRule="atLeast"/>
        <w:jc w:val="left"/>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联系人：</w:t>
      </w:r>
      <w:r>
        <w:rPr>
          <w:rFonts w:hint="eastAsia" w:ascii="仿宋" w:hAnsi="仿宋" w:eastAsia="仿宋" w:cs="仿宋"/>
          <w:kern w:val="0"/>
          <w:sz w:val="24"/>
          <w:szCs w:val="24"/>
          <w:highlight w:val="none"/>
          <w:lang w:val="en-US" w:eastAsia="zh-CN"/>
        </w:rPr>
        <w:t>冯晔</w:t>
      </w:r>
    </w:p>
    <w:p w14:paraId="37A4C555">
      <w:pPr>
        <w:widowControl/>
        <w:pBdr>
          <w:top w:val="none" w:color="000000" w:sz="0" w:space="0"/>
          <w:left w:val="none" w:color="000000" w:sz="0" w:space="0"/>
          <w:bottom w:val="none" w:color="000000" w:sz="0" w:space="0"/>
          <w:right w:val="none" w:color="000000" w:sz="0" w:space="0"/>
        </w:pBdr>
        <w:spacing w:line="480" w:lineRule="atLeast"/>
        <w:jc w:val="left"/>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联系电话：0512-53890</w:t>
      </w:r>
      <w:r>
        <w:rPr>
          <w:rFonts w:hint="eastAsia" w:ascii="仿宋" w:hAnsi="仿宋" w:eastAsia="仿宋" w:cs="仿宋"/>
          <w:kern w:val="0"/>
          <w:sz w:val="24"/>
          <w:szCs w:val="24"/>
          <w:highlight w:val="none"/>
          <w:lang w:val="en-US" w:eastAsia="zh-CN"/>
        </w:rPr>
        <w:t>639</w:t>
      </w:r>
    </w:p>
    <w:p w14:paraId="5200BA61">
      <w:pPr>
        <w:widowControl/>
        <w:pBdr>
          <w:top w:val="none" w:color="000000" w:sz="0" w:space="0"/>
          <w:left w:val="none" w:color="000000" w:sz="0" w:space="0"/>
          <w:bottom w:val="none" w:color="000000" w:sz="0" w:space="0"/>
          <w:right w:val="none" w:color="000000" w:sz="0" w:space="0"/>
        </w:pBdr>
        <w:spacing w:line="480" w:lineRule="atLeast"/>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3.项目联系方式</w:t>
      </w:r>
    </w:p>
    <w:p w14:paraId="4C6F78B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lang w:eastAsia="zh-CN"/>
        </w:rPr>
      </w:pPr>
      <w:r>
        <w:rPr>
          <w:rFonts w:hint="eastAsia" w:ascii="仿宋" w:hAnsi="仿宋" w:eastAsia="仿宋" w:cs="仿宋"/>
          <w:kern w:val="0"/>
          <w:sz w:val="24"/>
          <w:szCs w:val="24"/>
          <w:highlight w:val="none"/>
        </w:rPr>
        <w:t>项目联系人：</w:t>
      </w:r>
      <w:r>
        <w:rPr>
          <w:rFonts w:hint="eastAsia" w:ascii="仿宋" w:hAnsi="仿宋" w:eastAsia="仿宋" w:cs="仿宋"/>
          <w:kern w:val="0"/>
          <w:sz w:val="24"/>
          <w:szCs w:val="24"/>
          <w:highlight w:val="none"/>
          <w:lang w:val="en-US" w:eastAsia="zh-CN"/>
        </w:rPr>
        <w:t>冯晔</w:t>
      </w:r>
    </w:p>
    <w:p w14:paraId="162D98C1">
      <w:pPr>
        <w:widowControl/>
        <w:pBdr>
          <w:top w:val="none" w:color="000000" w:sz="0" w:space="0"/>
          <w:left w:val="none" w:color="000000" w:sz="0" w:space="0"/>
          <w:bottom w:val="none" w:color="000000" w:sz="0" w:space="0"/>
          <w:right w:val="none" w:color="000000" w:sz="0" w:space="0"/>
        </w:pBdr>
        <w:spacing w:line="480" w:lineRule="atLeast"/>
        <w:jc w:val="left"/>
        <w:rPr>
          <w:rFonts w:hint="default"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rPr>
        <w:t>电话：0512-53890</w:t>
      </w:r>
      <w:r>
        <w:rPr>
          <w:rFonts w:hint="eastAsia" w:ascii="仿宋" w:hAnsi="仿宋" w:eastAsia="仿宋" w:cs="仿宋"/>
          <w:kern w:val="0"/>
          <w:sz w:val="24"/>
          <w:szCs w:val="24"/>
          <w:highlight w:val="none"/>
          <w:lang w:val="en-US" w:eastAsia="zh-CN"/>
        </w:rPr>
        <w:t>639</w:t>
      </w:r>
    </w:p>
    <w:p w14:paraId="097E0718">
      <w:pPr>
        <w:tabs>
          <w:tab w:val="center" w:pos="7143"/>
          <w:tab w:val="right" w:pos="14287"/>
        </w:tabs>
        <w:rPr>
          <w:rFonts w:ascii="Arial" w:hAnsi="Arial" w:eastAsia="Arial" w:cs="Times New Roman"/>
          <w:sz w:val="22"/>
          <w:highlight w:val="none"/>
        </w:rPr>
      </w:pPr>
    </w:p>
    <w:p w14:paraId="657C05D1">
      <w:pPr>
        <w:widowControl/>
        <w:pBdr>
          <w:top w:val="none" w:color="000000" w:sz="0" w:space="0"/>
          <w:left w:val="none" w:color="000000" w:sz="0" w:space="0"/>
          <w:bottom w:val="none" w:color="000000" w:sz="0" w:space="0"/>
          <w:right w:val="none" w:color="000000" w:sz="0" w:space="0"/>
        </w:pBdr>
        <w:spacing w:line="312" w:lineRule="atLeast"/>
        <w:rPr>
          <w:rFonts w:ascii="宋体" w:hAnsi="宋体" w:eastAsia="宋体" w:cs="宋体"/>
          <w:b/>
          <w:kern w:val="0"/>
          <w:sz w:val="44"/>
          <w:highlight w:val="none"/>
        </w:rPr>
      </w:pPr>
    </w:p>
    <w:p w14:paraId="76BB7F30">
      <w:pPr>
        <w:widowControl/>
        <w:spacing w:after="200" w:line="276" w:lineRule="auto"/>
        <w:jc w:val="left"/>
        <w:rPr>
          <w:rFonts w:ascii="宋体" w:hAnsi="宋体" w:eastAsia="宋体" w:cs="宋体"/>
          <w:b/>
          <w:kern w:val="0"/>
          <w:sz w:val="44"/>
          <w:highlight w:val="none"/>
        </w:rPr>
      </w:pPr>
      <w:r>
        <w:rPr>
          <w:rFonts w:ascii="宋体" w:hAnsi="宋体" w:eastAsia="宋体" w:cs="宋体"/>
          <w:b/>
          <w:kern w:val="0"/>
          <w:sz w:val="44"/>
          <w:highlight w:val="none"/>
        </w:rPr>
        <w:br w:type="page"/>
      </w:r>
    </w:p>
    <w:p w14:paraId="4EEFA8DC">
      <w:pPr>
        <w:widowControl/>
        <w:pBdr>
          <w:top w:val="none" w:color="000000" w:sz="0" w:space="0"/>
          <w:left w:val="none" w:color="000000" w:sz="0" w:space="0"/>
          <w:bottom w:val="none" w:color="000000" w:sz="0" w:space="0"/>
          <w:right w:val="none" w:color="000000" w:sz="0" w:space="0"/>
        </w:pBdr>
        <w:spacing w:line="312" w:lineRule="atLeast"/>
        <w:jc w:val="center"/>
        <w:rPr>
          <w:rFonts w:ascii="宋体" w:hAnsi="宋体" w:eastAsia="宋体" w:cs="宋体"/>
          <w:b/>
          <w:kern w:val="0"/>
          <w:sz w:val="44"/>
          <w:highlight w:val="none"/>
        </w:rPr>
      </w:pPr>
      <w:r>
        <w:rPr>
          <w:rFonts w:ascii="宋体" w:hAnsi="宋体" w:eastAsia="宋体" w:cs="宋体"/>
          <w:b/>
          <w:kern w:val="0"/>
          <w:sz w:val="44"/>
          <w:highlight w:val="none"/>
        </w:rPr>
        <w:t>第二部分  </w:t>
      </w:r>
      <w:r>
        <w:rPr>
          <w:rFonts w:hint="eastAsia" w:ascii="宋体" w:hAnsi="宋体" w:eastAsia="宋体" w:cs="宋体"/>
          <w:b/>
          <w:kern w:val="0"/>
          <w:sz w:val="44"/>
          <w:highlight w:val="none"/>
        </w:rPr>
        <w:t>响应供应商须知</w:t>
      </w:r>
    </w:p>
    <w:p w14:paraId="574D5D3A">
      <w:pPr>
        <w:spacing w:after="200" w:line="276" w:lineRule="auto"/>
        <w:rPr>
          <w:rFonts w:ascii="宋体" w:hAnsi="Arial" w:eastAsia="Arial" w:cs="Times New Roman"/>
          <w:sz w:val="18"/>
          <w:szCs w:val="18"/>
          <w:highlight w:val="none"/>
        </w:rPr>
      </w:pPr>
    </w:p>
    <w:p w14:paraId="287EF83B">
      <w:pPr>
        <w:widowControl/>
        <w:spacing w:after="200" w:line="500" w:lineRule="exact"/>
        <w:ind w:firstLine="482" w:firstLineChars="200"/>
        <w:jc w:val="left"/>
        <w:rPr>
          <w:rFonts w:ascii="宋体" w:hAnsi="宋体" w:eastAsia="宋体" w:cs="宋体"/>
          <w:kern w:val="0"/>
          <w:sz w:val="24"/>
          <w:szCs w:val="24"/>
          <w:highlight w:val="none"/>
        </w:rPr>
      </w:pPr>
      <w:r>
        <w:rPr>
          <w:rFonts w:hint="eastAsia" w:ascii="宋体" w:hAnsi="宋体" w:eastAsia="宋体" w:cs="宋体"/>
          <w:b/>
          <w:kern w:val="0"/>
          <w:sz w:val="24"/>
          <w:szCs w:val="24"/>
          <w:highlight w:val="none"/>
        </w:rPr>
        <w:t>一、说明和释义</w:t>
      </w:r>
    </w:p>
    <w:p w14:paraId="2F92D03A">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 说明</w:t>
      </w:r>
    </w:p>
    <w:p w14:paraId="072A6A3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1.1本采购文件仅适用于苏州市公共资源交易中心太仓分中心组织的采购活动。</w:t>
      </w:r>
    </w:p>
    <w:p w14:paraId="68B52B1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1.2本次采购活动及因本次采购产生的合同受中国法律制约和保护。</w:t>
      </w:r>
    </w:p>
    <w:p w14:paraId="5CF5F31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1.3本采购文件的解释权属于采购人。</w:t>
      </w:r>
    </w:p>
    <w:p w14:paraId="09BB9427">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2. 词语释义</w:t>
      </w:r>
    </w:p>
    <w:p w14:paraId="328504A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2.1采购代理机构：具体组织实施采购活动的法人。本项目采购代理机构是苏州市公共资源交易中心太仓分中心。</w:t>
      </w:r>
    </w:p>
    <w:p w14:paraId="201C0EC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2.2响应供应商：经认定有资格响应采购，参加响应竞争的法人或其他组织和自然人。</w:t>
      </w:r>
    </w:p>
    <w:p w14:paraId="3F5843D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2.3响应：响应供应商根据采购人或采购代理机构发布的采购文件，编制响应文件并按规定响应的行为。</w:t>
      </w:r>
    </w:p>
    <w:p w14:paraId="609C7A1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2.4合同：采供双方根据采购文件和成交的响应文件及成交通知书规定的内容签署的以书面形式所达成的协议，包括所有的附件、附录和构成协议的所有文件。</w:t>
      </w:r>
    </w:p>
    <w:p w14:paraId="5ADC2B5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2.5甲方（采购方）：合同中明确规定的实际购买货物和服务的法人或其他组织和自然人（采购人）</w:t>
      </w:r>
    </w:p>
    <w:p w14:paraId="1E6EB4A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2.6乙方（供应商）：合同中规定的向采购方提供货物和服务的法人或其他组织和自然人（成交人）</w:t>
      </w:r>
    </w:p>
    <w:p w14:paraId="4D12A0E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2.7货物：系指乙方按采购文件规定，应向甲方提供的一切设备、备品、备件、工具、手册及其它有关技术资料和材料。</w:t>
      </w:r>
    </w:p>
    <w:p w14:paraId="4DB771F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2.8服务：系指本次采购文件规定乙方应承担的与提供货物和服务有关的辅助服务，比如运输、保险、安装、调试、验收、提供技术援助、培训、配合措施、维修响应及合同中规定乙方应承担的其它义务。</w:t>
      </w:r>
    </w:p>
    <w:p w14:paraId="5DD4C79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2.9知识产权：指专利权、商标权、著作权等无形财产专有权的统称。</w:t>
      </w:r>
    </w:p>
    <w:p w14:paraId="2DDBB5A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2.10天：日历日。</w:t>
      </w:r>
    </w:p>
    <w:p w14:paraId="1E69B2C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2.11交货地点：合同中明确约定的乙方提交的货物和服务最终到达地点。</w:t>
      </w:r>
    </w:p>
    <w:p w14:paraId="738C07A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2.12 合同价款：根据合同规定，乙方在正确地履行合同义务后甲方应支付乙方的价款。</w:t>
      </w:r>
    </w:p>
    <w:p w14:paraId="59965A7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2.13 产地：货物开采、生长、生产、最终制造、加工或提供服务的来源地。</w:t>
      </w:r>
    </w:p>
    <w:p w14:paraId="5050561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2.14不可抗力：不能预见、不能避免并且不能克服的客观情况。</w:t>
      </w:r>
    </w:p>
    <w:p w14:paraId="682B231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2.15 实质性响应：满足有关本次采购标的、数量、质量、价款或者报酬、履行期限、履行地点和方式、违约责任和解决争议方法等要求。</w:t>
      </w:r>
    </w:p>
    <w:p w14:paraId="6F18652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04452F4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2.17进口产品：指通过中国海关报关验收进入中国境内且产自境外的产品。</w:t>
      </w:r>
    </w:p>
    <w:p w14:paraId="1548E23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2.18书面形式：指书面文字、合同书、信件和传真等可以有形地表现所载内容的形式。</w:t>
      </w:r>
    </w:p>
    <w:p w14:paraId="34E34F5F">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二、 响应供应商</w:t>
      </w:r>
    </w:p>
    <w:p w14:paraId="0F4BBDC3">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3. 合格响应供应商的基本条件</w:t>
      </w:r>
    </w:p>
    <w:p w14:paraId="051EFA3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3.1符合《中华人民共和国政府采购法》第二十二条第一款之规定；</w:t>
      </w:r>
    </w:p>
    <w:p w14:paraId="46EC9CF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3.2满足本文件实质性条款的规定。</w:t>
      </w:r>
    </w:p>
    <w:p w14:paraId="35AC4548">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4．合格响应供应商的特定条件</w:t>
      </w:r>
    </w:p>
    <w:p w14:paraId="47FC543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4.1 按采购公告规定。</w:t>
      </w:r>
    </w:p>
    <w:p w14:paraId="78E0C8DF">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5. 响应供应商代表</w:t>
      </w:r>
    </w:p>
    <w:p w14:paraId="57D1389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5.1指全权代表响应供应商参加响应活动并签署响应文件的人，如果响应供应商代表不是法人代表，须持有《法人代表授权委托书》（详见统一格式）。</w:t>
      </w:r>
    </w:p>
    <w:p w14:paraId="2D6FFE4D">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6. 联合响应</w:t>
      </w:r>
    </w:p>
    <w:p w14:paraId="6ACD09E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6.1按采购公告规定。</w:t>
      </w:r>
    </w:p>
    <w:p w14:paraId="2296EC34">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 xml:space="preserve">7. 响应费用 </w:t>
      </w:r>
    </w:p>
    <w:p w14:paraId="44CBDC5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7.1响应供应商应自行承担所有准备及参加响应的相关费用。不论响应结果如何，采购代理机构在任何情况下均无义务也无责任承担这些费用。</w:t>
      </w:r>
    </w:p>
    <w:p w14:paraId="7A60D8A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7.2 本次采购项目不收取标书费及成交服务费，请响应供应商在响应时充分考虑这一因素。</w:t>
      </w:r>
    </w:p>
    <w:p w14:paraId="0D02D00D">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三、采购文件说明</w:t>
      </w:r>
    </w:p>
    <w:p w14:paraId="0E3AAE23">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8. 采购文件</w:t>
      </w:r>
    </w:p>
    <w:p w14:paraId="0D523B0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7F43C26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8.2采购文件及其更正文件不是直接从采购代理机构或指定媒体获得的，采购代理机构对采购文件及其补遗的真实性、完整性不承担任何责任。</w:t>
      </w:r>
    </w:p>
    <w:p w14:paraId="4AF3E8DA">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9. 采购文件的澄清</w:t>
      </w:r>
    </w:p>
    <w:p w14:paraId="2CCD74A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9.1响应供应商在获取采购文件后，若有疑问，应于网上响应截止时间之前，在网上业务系统向采购代理机构提出，采购代理机构将在业务系统上予以解答。</w:t>
      </w:r>
    </w:p>
    <w:p w14:paraId="4948973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9.2如有必要，问题答复将以“变更公告”形式由采购代理机构按照本须知第10条的规定发出。</w:t>
      </w:r>
    </w:p>
    <w:p w14:paraId="0934219E">
      <w:pPr>
        <w:widowControl/>
        <w:spacing w:after="200" w:line="500" w:lineRule="exact"/>
        <w:ind w:firstLine="482" w:firstLineChars="200"/>
        <w:jc w:val="left"/>
        <w:rPr>
          <w:rFonts w:ascii="宋体" w:hAnsi="宋体" w:eastAsia="宋体" w:cs="宋体"/>
          <w:kern w:val="0"/>
          <w:sz w:val="24"/>
          <w:szCs w:val="24"/>
          <w:highlight w:val="none"/>
        </w:rPr>
      </w:pPr>
      <w:r>
        <w:rPr>
          <w:rFonts w:hint="eastAsia" w:ascii="宋体" w:hAnsi="宋体" w:eastAsia="宋体" w:cs="宋体"/>
          <w:b/>
          <w:kern w:val="0"/>
          <w:sz w:val="24"/>
          <w:szCs w:val="24"/>
          <w:highlight w:val="none"/>
        </w:rPr>
        <w:t>10.采购文件的修改</w:t>
      </w:r>
    </w:p>
    <w:p w14:paraId="7409A5B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10.1采购代理机构无论出于自己的考虑，还是出于对响应供应商提问的澄清，均可对已发出的采购文件用</w:t>
      </w:r>
      <w:r>
        <w:rPr>
          <w:rFonts w:hint="eastAsia" w:ascii="宋体" w:hAnsi="宋体" w:eastAsia="宋体" w:cs="宋体"/>
          <w:kern w:val="0"/>
          <w:sz w:val="24"/>
          <w:szCs w:val="24"/>
          <w:highlight w:val="none"/>
          <w:lang w:val="zh-CN"/>
        </w:rPr>
        <w:t>补充文件的方式</w:t>
      </w:r>
      <w:r>
        <w:rPr>
          <w:rFonts w:hint="eastAsia" w:ascii="宋体" w:hAnsi="宋体" w:eastAsia="宋体" w:cs="宋体"/>
          <w:kern w:val="0"/>
          <w:sz w:val="24"/>
          <w:szCs w:val="24"/>
          <w:highlight w:val="none"/>
        </w:rPr>
        <w:t>进行必要澄清或者修改。</w:t>
      </w:r>
    </w:p>
    <w:p w14:paraId="40B143C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10.2为使响应供应商有足够的时间按采购文件的修改要求考虑修正响应文件，或出于其他原因，采购代理机构有权推迟响应截止日期和开标日期，并将此变更以补充通知的形式在网上发布公告。</w:t>
      </w:r>
    </w:p>
    <w:p w14:paraId="069C01A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10.3采购文件的更正（含澄清、修改等）内容与原采购文件在同一内容上表述不一致时，以发出日期最接近开标时间的公告为准。</w:t>
      </w:r>
    </w:p>
    <w:p w14:paraId="10321B4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10.4采购文件的更正（含澄清、修改等）内容将在苏州政府采购网发布，请响应供应商及时查询，更正（含澄清、修改等）内容作为采购文件的组成部分，对响应供应商起约束作用。</w:t>
      </w:r>
    </w:p>
    <w:p w14:paraId="0213E7DC">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10.5采购文件若有最新的答疑文件，响应供应商必须下载并使用该文件制作新的电子响应文件，否则将无法完成电子响应文件的上传及响应。</w:t>
      </w:r>
    </w:p>
    <w:p w14:paraId="72D5EB2F">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11.质疑</w:t>
      </w:r>
    </w:p>
    <w:p w14:paraId="3E77D4D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0950CD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11.2 提出质疑的供应商应当是参与所质疑项目采购活动的供应商，未参加响应活动的供应商或在响应活动中自身权益未受到损害的供应商所提出的质疑不予受理。</w:t>
      </w:r>
    </w:p>
    <w:p w14:paraId="00A3DB0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11.3上述应知其权益受到损害之日是指：</w:t>
      </w:r>
    </w:p>
    <w:p w14:paraId="35D3B7B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11.3.1对采购文件提出质疑的，为获取采购文件或者采购文件公告期限届满之日起计算；</w:t>
      </w:r>
    </w:p>
    <w:p w14:paraId="525FB12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11.3.2对采购过程提出质疑的，自采购程序环节结束之日起计算；</w:t>
      </w:r>
    </w:p>
    <w:p w14:paraId="29994F1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11.3.3对成交结果提出质疑的，自成交结果公告期限届满之日起计算。</w:t>
      </w:r>
    </w:p>
    <w:p w14:paraId="48C3D8A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11.4 供应商提出质疑应当提交质疑函和必要的证明材料。质疑函应当包括下列内容：</w:t>
      </w:r>
    </w:p>
    <w:p w14:paraId="2BFE958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11.4.1 供应商的姓名或者名称、地址、邮编、联系人及联系电话；</w:t>
      </w:r>
    </w:p>
    <w:p w14:paraId="712A156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11.4.2 质疑项目的名称、编号；</w:t>
      </w:r>
    </w:p>
    <w:p w14:paraId="3F4D2D3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11.4.3 具体、明确的质疑事项和与质疑事项相关的请求；</w:t>
      </w:r>
    </w:p>
    <w:p w14:paraId="68AD5CC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11.4.4 事实依据；</w:t>
      </w:r>
    </w:p>
    <w:p w14:paraId="22730E5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11.4.5 必要的法律依据；</w:t>
      </w:r>
    </w:p>
    <w:p w14:paraId="41E413B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11.4.6 提出质疑的日期。</w:t>
      </w:r>
    </w:p>
    <w:p w14:paraId="2EB1F60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11.5质疑函的格式和内容应当符合财政部《政府采购供应商质疑函范本》 </w:t>
      </w:r>
      <w:bookmarkStart w:id="0" w:name="baidusnap5"/>
      <w:bookmarkEnd w:id="0"/>
      <w:r>
        <w:rPr>
          <w:rFonts w:hint="eastAsia" w:ascii="宋体" w:hAnsi="宋体" w:eastAsia="宋体" w:cs="宋体"/>
          <w:kern w:val="0"/>
          <w:sz w:val="24"/>
          <w:szCs w:val="24"/>
          <w:highlight w:val="none"/>
        </w:rPr>
        <w:t>要求，质疑函范本在财政部官网上提供下载。</w:t>
      </w:r>
    </w:p>
    <w:p w14:paraId="48225C7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11.6 提交质疑函同时应当附如下证明材料：</w:t>
      </w:r>
    </w:p>
    <w:p w14:paraId="0FD61B2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11.6.1对采购文件提出质疑的供应商提供参加本项目的</w:t>
      </w:r>
      <w:r>
        <w:rPr>
          <w:rFonts w:hint="eastAsia" w:ascii="宋体" w:hAnsi="宋体" w:eastAsia="宋体" w:cs="宋体"/>
          <w:b/>
          <w:bCs/>
          <w:kern w:val="0"/>
          <w:sz w:val="24"/>
          <w:szCs w:val="24"/>
          <w:highlight w:val="none"/>
        </w:rPr>
        <w:t>《投标供应商确认函》</w:t>
      </w:r>
      <w:r>
        <w:rPr>
          <w:rFonts w:hint="eastAsia" w:ascii="宋体" w:hAnsi="宋体" w:eastAsia="宋体" w:cs="宋体"/>
          <w:kern w:val="0"/>
          <w:sz w:val="24"/>
          <w:szCs w:val="24"/>
          <w:highlight w:val="none"/>
        </w:rPr>
        <w:t>；</w:t>
      </w:r>
    </w:p>
    <w:p w14:paraId="490F54C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11.6.2质疑供应商的营业执照复印件加盖单位公章；</w:t>
      </w:r>
    </w:p>
    <w:p w14:paraId="2AE6072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11.6.3质疑供应商法定代表人身份证复印件加盖单位公章；</w:t>
      </w:r>
    </w:p>
    <w:p w14:paraId="6299D2F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071FAEA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11.7 供应商为自然人的，应当由本人签字；供应商为法人或者其他组织的，应当由法定代表人、主要负责人，或者其授权代表签字或者盖章，并加盖公章。 </w:t>
      </w:r>
    </w:p>
    <w:p w14:paraId="08217D3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11.8供应商对采购项目技术、商务及其他要求，以及评审细则、标准提出询问或质疑的，应向采购人提出；供应商对采购过程及成交结果提出询问或质疑的，应向采购机代理构提出；</w:t>
      </w:r>
    </w:p>
    <w:p w14:paraId="7FC66BD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11.9 供应商如对本项目提出质疑须在法定质疑期内一次性提出针对同一采购程序环节的质疑。</w:t>
      </w:r>
    </w:p>
    <w:p w14:paraId="4D2142C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ascii="宋体" w:hAnsi="宋体" w:eastAsia="宋体" w:cs="宋体"/>
          <w:sz w:val="24"/>
          <w:highlight w:val="none"/>
        </w:rPr>
        <w:t>11.1</w:t>
      </w:r>
      <w:r>
        <w:rPr>
          <w:rFonts w:hint="eastAsia" w:ascii="宋体" w:hAnsi="宋体" w:eastAsia="宋体" w:cs="宋体"/>
          <w:sz w:val="24"/>
          <w:highlight w:val="none"/>
        </w:rPr>
        <w:t>0</w:t>
      </w:r>
      <w:r>
        <w:rPr>
          <w:rFonts w:ascii="宋体" w:hAnsi="宋体" w:eastAsia="宋体" w:cs="宋体"/>
          <w:sz w:val="24"/>
          <w:highlight w:val="none"/>
        </w:rPr>
        <w:t xml:space="preserve"> </w:t>
      </w:r>
      <w:r>
        <w:rPr>
          <w:rFonts w:hint="eastAsia" w:ascii="宋体" w:hAnsi="宋体" w:eastAsia="宋体" w:cs="宋体"/>
          <w:sz w:val="24"/>
          <w:highlight w:val="none"/>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rPr>
        <w:t>（即《投标供应商确认函》）</w:t>
      </w:r>
      <w:r>
        <w:rPr>
          <w:rFonts w:hint="eastAsia" w:ascii="宋体" w:hAnsi="宋体" w:eastAsia="宋体" w:cs="宋体"/>
          <w:sz w:val="24"/>
          <w:highlight w:val="none"/>
        </w:rPr>
        <w:t>与质疑函一起递交，否则不予受理。</w:t>
      </w:r>
    </w:p>
    <w:p w14:paraId="414CA21A">
      <w:pPr>
        <w:pBdr>
          <w:top w:val="none" w:color="000000" w:sz="0" w:space="0"/>
          <w:left w:val="none" w:color="000000" w:sz="0" w:space="0"/>
          <w:bottom w:val="none" w:color="000000" w:sz="0" w:space="0"/>
          <w:right w:val="none" w:color="000000" w:sz="0" w:space="0"/>
        </w:pBdr>
        <w:spacing w:line="439" w:lineRule="atLeast"/>
        <w:ind w:firstLine="360"/>
        <w:rPr>
          <w:highlight w:val="none"/>
        </w:rPr>
      </w:pPr>
      <w:r>
        <w:rPr>
          <w:rFonts w:ascii="宋体" w:hAnsi="宋体" w:eastAsia="宋体" w:cs="宋体"/>
          <w:sz w:val="24"/>
          <w:highlight w:val="none"/>
        </w:rPr>
        <w:t>11.11 接受质疑函联系方式见采购公告联系事项。</w:t>
      </w:r>
    </w:p>
    <w:p w14:paraId="44DF77C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p>
    <w:p w14:paraId="64BDF072">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四、 响应文件说明</w:t>
      </w:r>
    </w:p>
    <w:p w14:paraId="1ED40777">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12、提示与要求</w:t>
      </w:r>
    </w:p>
    <w:p w14:paraId="4DD886F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12.1响应供应商应仔细阅读采购文件的所有内容，按采购文件的要求提供响应文件，并保证所提供的全部资料的真实性，以使其响应对采购文件做出实质性响应，否则，其响应可能被拒绝。</w:t>
      </w:r>
    </w:p>
    <w:p w14:paraId="48026B3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12.2无论是否递交响应文件，响应供应商都应将采购文件及以后的所有通知、文件等视为保密文件。</w:t>
      </w:r>
    </w:p>
    <w:p w14:paraId="2335CC4C">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13. 响应文件计量单位和使用文字</w:t>
      </w:r>
    </w:p>
    <w:p w14:paraId="6DB9EFA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13.1响应文件中所使用的计量单位，除采购文件中有特殊要求外，均应使用中华人民共和国法定计量单位。</w:t>
      </w:r>
    </w:p>
    <w:p w14:paraId="5950FB6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4C0CD5EC">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14. 知识产权</w:t>
      </w:r>
    </w:p>
    <w:p w14:paraId="5317FF2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7014F9DE">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15. 响应文件的组成和顺序</w:t>
      </w:r>
    </w:p>
    <w:p w14:paraId="5131E000">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15.1报价部分（详见响应文件格式）：</w:t>
      </w:r>
    </w:p>
    <w:p w14:paraId="56F49D9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15.1.1《开标一览表》(统一格式)；</w:t>
      </w:r>
    </w:p>
    <w:p w14:paraId="3653870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15.1.2响应报价明细表；</w:t>
      </w:r>
    </w:p>
    <w:p w14:paraId="52CFB537">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15.2 响应正文部分（包含资质证明和技术部分）</w:t>
      </w:r>
    </w:p>
    <w:p w14:paraId="0A994C28">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15.2.1资质证明文件部分</w:t>
      </w:r>
    </w:p>
    <w:p w14:paraId="2F9EBE8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15.2.1.1关于资格文件的声明函（详见文件格式）；</w:t>
      </w:r>
    </w:p>
    <w:p w14:paraId="28D4200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15.2.1.2响应承诺函（详见响应文件格式）；</w:t>
      </w:r>
    </w:p>
    <w:p w14:paraId="2B1D125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15.2.1.3响应单位营业执照副本或三证合一营业执照复印件；</w:t>
      </w:r>
    </w:p>
    <w:p w14:paraId="01AAEEF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15.2.1.4响应供应商参加本次政府采购活动前的财务状况报告或者银行出具的资信证明；</w:t>
      </w:r>
    </w:p>
    <w:p w14:paraId="77E8612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15.2.1.5响应供应商根据项目需求提供履行合同所必需的设备和专业技术能力的证明材料；</w:t>
      </w:r>
    </w:p>
    <w:p w14:paraId="65F8B31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15.2.1.6响应供应商参加本次政府采购活动前半年（至少一个月）依法缴纳税收和社会保障资金的证明材料；</w:t>
      </w:r>
    </w:p>
    <w:p w14:paraId="19237C1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15.2.1.7响应供应商参加政府采购活动前三年在经营活动中没有重大违法记录的书面申明（详见文件格式）；</w:t>
      </w:r>
    </w:p>
    <w:p w14:paraId="2438481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15.2.1.8响应供应商证明其符合采购文件规定的响应供应商特定资格条件的证书、证明和文件材料；（如有）</w:t>
      </w:r>
    </w:p>
    <w:p w14:paraId="30876EC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15.2.1.9响应供应商基本情况表（详见文件格式）；</w:t>
      </w:r>
    </w:p>
    <w:p w14:paraId="2BB3D3E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15.2.1.10响应供应商法定代表人身份证复印件；</w:t>
      </w:r>
    </w:p>
    <w:p w14:paraId="1D183FD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15.2.1.11响应供应商法定代表人授权委托书原件（如有授权）（详见文件格式）；</w:t>
      </w:r>
    </w:p>
    <w:p w14:paraId="5873F57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15.2.1.12响应供应商授权代理人身份证复印件（如有授权）；</w:t>
      </w:r>
    </w:p>
    <w:p w14:paraId="53E67CF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15.2.1.13中小企业声明函（如有）</w:t>
      </w:r>
    </w:p>
    <w:p w14:paraId="718438F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15.2.1.14残疾人福利性单位声明函（如有）；</w:t>
      </w:r>
    </w:p>
    <w:p w14:paraId="296F58E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15.2.1.15其他可以证明响应供应商资信、资质和货物、服务质量的证书、文件、推荐信等资料；（如有）</w:t>
      </w:r>
    </w:p>
    <w:p w14:paraId="79FA4135">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15.2.2技术部分</w:t>
      </w:r>
    </w:p>
    <w:p w14:paraId="4B64671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15.2.2.1服务要求偏离表（详见文件格式）；</w:t>
      </w:r>
    </w:p>
    <w:p w14:paraId="258F34C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15.2.2.2商务要求偏离表（详见文件格式）；</w:t>
      </w:r>
    </w:p>
    <w:p w14:paraId="2590E56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lang w:val="zh-CN"/>
        </w:rPr>
      </w:pPr>
      <w:r>
        <w:rPr>
          <w:rFonts w:hint="eastAsia" w:ascii="宋体" w:hAnsi="宋体" w:eastAsia="宋体" w:cs="宋体"/>
          <w:kern w:val="0"/>
          <w:sz w:val="24"/>
          <w:szCs w:val="24"/>
          <w:highlight w:val="none"/>
        </w:rPr>
        <w:t>15.2.2.3项目的技术及服务方案；</w:t>
      </w:r>
    </w:p>
    <w:p w14:paraId="63770B1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15.2.2.4售后服务内容；</w:t>
      </w:r>
    </w:p>
    <w:p w14:paraId="0B13EF8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15.2.2.5采购文件中要求提供的其他相关材料；</w:t>
      </w:r>
    </w:p>
    <w:p w14:paraId="3CB5619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15.2.2.6其他需响应供应商对本次响应的详细说明（响应供应商视各自的情况自行编制）；</w:t>
      </w:r>
    </w:p>
    <w:p w14:paraId="24BF91A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kern w:val="0"/>
          <w:sz w:val="24"/>
          <w:szCs w:val="24"/>
          <w:highlight w:val="none"/>
        </w:rPr>
        <w:t>。</w:t>
      </w:r>
    </w:p>
    <w:p w14:paraId="074955DA">
      <w:pPr>
        <w:widowControl/>
        <w:spacing w:after="200" w:line="500" w:lineRule="exact"/>
        <w:ind w:firstLine="482" w:firstLineChars="200"/>
        <w:jc w:val="left"/>
        <w:rPr>
          <w:rFonts w:ascii="宋体" w:hAnsi="宋体" w:eastAsia="宋体" w:cs="宋体"/>
          <w:dstrike/>
          <w:kern w:val="0"/>
          <w:sz w:val="24"/>
          <w:szCs w:val="24"/>
          <w:highlight w:val="none"/>
        </w:rPr>
      </w:pPr>
      <w:r>
        <w:rPr>
          <w:rFonts w:hint="eastAsia" w:ascii="宋体" w:hAnsi="宋体" w:eastAsia="宋体" w:cs="宋体"/>
          <w:b/>
          <w:kern w:val="0"/>
          <w:sz w:val="24"/>
          <w:szCs w:val="24"/>
          <w:highlight w:val="none"/>
        </w:rPr>
        <w:t>15.3响应文件由15.1、15.2款规定的内容共同组成。</w:t>
      </w:r>
    </w:p>
    <w:p w14:paraId="0997EC93">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宋体" w:hAnsi="宋体" w:eastAsia="宋体" w:cs="宋体"/>
          <w:kern w:val="0"/>
          <w:sz w:val="24"/>
          <w:szCs w:val="24"/>
          <w:highlight w:val="none"/>
        </w:rPr>
      </w:pPr>
      <w:r>
        <w:rPr>
          <w:rFonts w:hint="eastAsia" w:ascii="宋体" w:hAnsi="宋体" w:eastAsia="宋体" w:cs="宋体"/>
          <w:b/>
          <w:kern w:val="0"/>
          <w:sz w:val="24"/>
          <w:szCs w:val="24"/>
          <w:highlight w:val="none"/>
        </w:rPr>
        <w:t>16. 响应文件编制要求   </w:t>
      </w:r>
    </w:p>
    <w:p w14:paraId="33CF899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16.1</w:t>
      </w:r>
      <w:r>
        <w:rPr>
          <w:rFonts w:hint="eastAsia" w:ascii="宋体" w:hAnsi="宋体" w:eastAsia="宋体" w:cs="宋体"/>
          <w:b/>
          <w:kern w:val="0"/>
          <w:sz w:val="24"/>
          <w:szCs w:val="24"/>
          <w:highlight w:val="none"/>
        </w:rPr>
        <w:t>电子响应文件编制要求：</w:t>
      </w:r>
      <w:r>
        <w:rPr>
          <w:rFonts w:hint="eastAsia" w:ascii="宋体" w:hAnsi="宋体" w:eastAsia="宋体" w:cs="宋体"/>
          <w:kern w:val="0"/>
          <w:sz w:val="24"/>
          <w:szCs w:val="24"/>
          <w:highlight w:val="none"/>
        </w:rPr>
        <w:t>响应人应使用</w:t>
      </w:r>
      <w:r>
        <w:rPr>
          <w:rFonts w:hint="eastAsia" w:ascii="宋体" w:hAnsi="宋体" w:eastAsia="宋体" w:cs="宋体"/>
          <w:b/>
          <w:kern w:val="0"/>
          <w:sz w:val="24"/>
          <w:szCs w:val="24"/>
          <w:highlight w:val="none"/>
        </w:rPr>
        <w:t>采购文件要求的响应文件制作软件制作电子响应文件</w:t>
      </w:r>
      <w:r>
        <w:rPr>
          <w:rFonts w:hint="eastAsia" w:ascii="宋体" w:hAnsi="宋体" w:eastAsia="宋体" w:cs="宋体"/>
          <w:kern w:val="0"/>
          <w:sz w:val="24"/>
          <w:szCs w:val="24"/>
          <w:highlight w:val="none"/>
        </w:rPr>
        <w:t>，电子响应文件按采购文件规定的格式制作，如果未按要求制作上传，可能导致响应无效。</w:t>
      </w:r>
    </w:p>
    <w:p w14:paraId="59259BE7">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17. 响应报价（编制）要求的说明</w:t>
      </w:r>
    </w:p>
    <w:p w14:paraId="1EFD0F0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07B56ED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6E008E3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17.3 一项响应内容只允许一个报价，采购代理机构不接受任何有选择性的响应报价。</w:t>
      </w:r>
    </w:p>
    <w:p w14:paraId="7454DDD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17.4响应文件报价中的单价和总价全部采用人民币表示，除非合同的特殊条款另有规定。</w:t>
      </w:r>
    </w:p>
    <w:p w14:paraId="0582D9F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17.5最低的响应报价或最高的折扣比例是成交的重要条件，但不是成交的唯一条件。</w:t>
      </w:r>
    </w:p>
    <w:p w14:paraId="70073A05">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18. 响应保证金</w:t>
      </w:r>
    </w:p>
    <w:p w14:paraId="3712B9DA">
      <w:pPr>
        <w:widowControl/>
        <w:spacing w:after="200" w:line="5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本项目无须缴纳响应保证金。</w:t>
      </w:r>
    </w:p>
    <w:p w14:paraId="6B952523">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19. 响应文件的有效期</w:t>
      </w:r>
    </w:p>
    <w:p w14:paraId="129BD707">
      <w:pPr>
        <w:widowControl/>
        <w:spacing w:after="200" w:line="500" w:lineRule="exact"/>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19.1在本采购文件规定的开标之日起九十（90）天内，响应供应商所提交的响应文件应保持有效。</w:t>
      </w:r>
      <w:r>
        <w:rPr>
          <w:rFonts w:hint="eastAsia" w:ascii="宋体" w:hAnsi="宋体" w:eastAsia="宋体" w:cs="宋体"/>
          <w:b/>
          <w:kern w:val="0"/>
          <w:sz w:val="24"/>
          <w:szCs w:val="24"/>
          <w:highlight w:val="none"/>
        </w:rPr>
        <w:t>有效期短于这个规定期限的响应文件，将被认定为未实质性响应采购文件要求。</w:t>
      </w:r>
    </w:p>
    <w:p w14:paraId="61A25AE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24249218">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五、响应文件的提交、撤回和修改</w:t>
      </w:r>
    </w:p>
    <w:p w14:paraId="20A7E42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20. 响应文件的上传、提交</w:t>
      </w:r>
    </w:p>
    <w:p w14:paraId="0AC5071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20.1响应供应商应将制作好的加密电子响应文件按要求在响应截止时间前上传到交易系统平台中。</w:t>
      </w:r>
    </w:p>
    <w:p w14:paraId="09F5CD3C">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21. 响应截止时间</w:t>
      </w:r>
    </w:p>
    <w:p w14:paraId="57DC9E0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21.1电子响应文件必须按采购公告中规定的网上响应截止时间前提交，否则响应无效。</w:t>
      </w:r>
    </w:p>
    <w:p w14:paraId="60C1226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21.2采购代理机构推迟响应截止时间时，应以更正公告的形式，通知所有响应供应商。在这种情况下，采购代理机构和响应供应商的权利和义务将受到新的截止期的约束。</w:t>
      </w:r>
    </w:p>
    <w:p w14:paraId="525F55C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21.3在响应截止时间止，采购代理机构于本项目（或标段）收到的电子响应文件少于一份的，采购代理机构有权宣布本项目（或标段）采购失败。</w:t>
      </w:r>
    </w:p>
    <w:p w14:paraId="0F89AA7B">
      <w:pPr>
        <w:widowControl/>
        <w:spacing w:after="200" w:line="50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22. 响应文件的修改和撤回</w:t>
      </w:r>
    </w:p>
    <w:p w14:paraId="00A9B9B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22.1响应供应商在提交响应文件截止时间前，可对其响应文件进行撤回或修改。</w:t>
      </w:r>
    </w:p>
    <w:p w14:paraId="49A04A7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23.2开标后响应供应商不得撤回响应。</w:t>
      </w:r>
    </w:p>
    <w:p w14:paraId="148161A3">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宋体" w:hAnsi="宋体" w:eastAsia="宋体" w:cs="宋体"/>
          <w:kern w:val="0"/>
          <w:sz w:val="24"/>
          <w:szCs w:val="24"/>
          <w:highlight w:val="none"/>
        </w:rPr>
      </w:pPr>
      <w:r>
        <w:rPr>
          <w:rFonts w:hint="eastAsia" w:ascii="宋体" w:hAnsi="宋体" w:eastAsia="宋体" w:cs="宋体"/>
          <w:b/>
          <w:kern w:val="0"/>
          <w:sz w:val="24"/>
          <w:szCs w:val="24"/>
          <w:highlight w:val="none"/>
        </w:rPr>
        <w:t>六、响应和评审</w:t>
      </w:r>
    </w:p>
    <w:p w14:paraId="557846A7">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宋体" w:hAnsi="宋体" w:eastAsia="宋体" w:cs="宋体"/>
          <w:kern w:val="0"/>
          <w:sz w:val="24"/>
          <w:szCs w:val="24"/>
          <w:highlight w:val="none"/>
        </w:rPr>
      </w:pPr>
      <w:r>
        <w:rPr>
          <w:rFonts w:hint="eastAsia" w:ascii="宋体" w:hAnsi="宋体" w:eastAsia="宋体" w:cs="宋体"/>
          <w:b/>
          <w:kern w:val="0"/>
          <w:sz w:val="24"/>
          <w:szCs w:val="24"/>
          <w:highlight w:val="none"/>
        </w:rPr>
        <w:t>23. 单一来源采购仪式</w:t>
      </w:r>
    </w:p>
    <w:p w14:paraId="1E3AB2C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23.1采购代理机构按采购公告规定的时间、地点主持不见面采购活动。采购仪式由采购代理机构、采购人等主持。</w:t>
      </w:r>
    </w:p>
    <w:p w14:paraId="29D2458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23.2</w:t>
      </w:r>
      <w:r>
        <w:rPr>
          <w:rFonts w:hint="eastAsia" w:ascii="宋体" w:hAnsi="宋体" w:eastAsia="宋体" w:cs="宋体"/>
          <w:b/>
          <w:kern w:val="0"/>
          <w:sz w:val="24"/>
          <w:szCs w:val="24"/>
          <w:highlight w:val="none"/>
        </w:rPr>
        <w:t>参加采购活动的响应法定代表人或授权代理人须在项目开始前登录苏采云不见面开标系统，进入网上不见面开标大厅，做好相关准备工作。</w:t>
      </w:r>
    </w:p>
    <w:p w14:paraId="0EDC06A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23.3单一来源采购</w:t>
      </w:r>
      <w:r>
        <w:rPr>
          <w:rFonts w:hint="eastAsia" w:ascii="宋体" w:hAnsi="宋体" w:eastAsia="Arial" w:cs="Times New Roman"/>
          <w:kern w:val="0"/>
          <w:sz w:val="24"/>
          <w:szCs w:val="24"/>
          <w:highlight w:val="none"/>
        </w:rPr>
        <w:t>活动开始后，按照采购流程，响应供应商在规定的解密时间内解密响应文件，</w:t>
      </w:r>
      <w:r>
        <w:rPr>
          <w:rFonts w:hint="eastAsia" w:ascii="宋体" w:hAnsi="宋体" w:eastAsia="Arial" w:cs="Times New Roman"/>
          <w:b/>
          <w:kern w:val="0"/>
          <w:sz w:val="24"/>
          <w:szCs w:val="24"/>
          <w:highlight w:val="none"/>
        </w:rPr>
        <w:t>解密时间为15分钟，</w:t>
      </w:r>
      <w:r>
        <w:rPr>
          <w:rFonts w:hint="eastAsia" w:ascii="宋体" w:hAnsi="宋体" w:eastAsia="Arial" w:cs="Times New Roman"/>
          <w:kern w:val="0"/>
          <w:sz w:val="24"/>
          <w:szCs w:val="24"/>
          <w:highlight w:val="none"/>
        </w:rPr>
        <w:t>因自身原因导致解密失败的，由响应供应商自行承担向相关责任。</w:t>
      </w:r>
    </w:p>
    <w:p w14:paraId="0ACDD92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23.4响应人代表对采购仪式过程和记录有疑义，以及认为采购人、采购代理机构相关工作人员有需要回避的情形的，</w:t>
      </w:r>
      <w:r>
        <w:rPr>
          <w:rFonts w:hint="eastAsia" w:ascii="宋体" w:hAnsi="宋体" w:eastAsia="宋体" w:cs="宋体"/>
          <w:b/>
          <w:kern w:val="0"/>
          <w:sz w:val="24"/>
          <w:szCs w:val="24"/>
          <w:highlight w:val="none"/>
        </w:rPr>
        <w:t>应通过不见面开标大厅提出</w:t>
      </w:r>
      <w:r>
        <w:rPr>
          <w:rFonts w:hint="eastAsia" w:ascii="宋体" w:hAnsi="宋体" w:eastAsia="宋体" w:cs="宋体"/>
          <w:kern w:val="0"/>
          <w:sz w:val="24"/>
          <w:szCs w:val="24"/>
          <w:highlight w:val="none"/>
        </w:rPr>
        <w:t>询问或者回避申请。采购人、采购代理机构对响应人代表提出的询问或者回避申请应当及时处理。</w:t>
      </w:r>
    </w:p>
    <w:p w14:paraId="44E34359">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宋体" w:hAnsi="宋体" w:eastAsia="宋体" w:cs="宋体"/>
          <w:kern w:val="0"/>
          <w:sz w:val="24"/>
          <w:szCs w:val="24"/>
          <w:highlight w:val="none"/>
        </w:rPr>
      </w:pPr>
      <w:r>
        <w:rPr>
          <w:rFonts w:hint="eastAsia" w:ascii="宋体" w:hAnsi="宋体" w:eastAsia="宋体" w:cs="宋体"/>
          <w:b/>
          <w:kern w:val="0"/>
          <w:sz w:val="24"/>
          <w:szCs w:val="24"/>
          <w:highlight w:val="none"/>
        </w:rPr>
        <w:t>24. 评审小组</w:t>
      </w:r>
    </w:p>
    <w:p w14:paraId="020B2D0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hint="eastAsia" w:ascii="宋体" w:hAnsi="宋体" w:eastAsia="宋体" w:cs="宋体"/>
          <w:kern w:val="0"/>
          <w:sz w:val="24"/>
          <w:szCs w:val="24"/>
          <w:highlight w:val="none"/>
        </w:rPr>
        <w:t>24.1评审小组由采购人或委托采购代理机构依法组建，负责本项目</w:t>
      </w:r>
      <w:r>
        <w:rPr>
          <w:rFonts w:ascii="宋体" w:hAnsi="宋体" w:eastAsia="宋体" w:cs="宋体"/>
          <w:kern w:val="0"/>
          <w:sz w:val="24"/>
          <w:szCs w:val="24"/>
          <w:highlight w:val="none"/>
        </w:rPr>
        <w:t>的评审事务。</w:t>
      </w:r>
    </w:p>
    <w:p w14:paraId="49E6B85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24.2评审小组独立履行下列职责：</w:t>
      </w:r>
    </w:p>
    <w:p w14:paraId="78C311B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24.2.1审查响应文件是否符合</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的要求，并作出评价；</w:t>
      </w:r>
    </w:p>
    <w:p w14:paraId="06E4FDB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24.2.2可以要求响应供应商对响应文件有关事项作出解释或澄清；</w:t>
      </w:r>
    </w:p>
    <w:p w14:paraId="0D1C78F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24.2.3推荐成交候选供应商名单，或者受采购人委托按照事先确定的办法直接确定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6196C81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24.2.4向采购代理机构或者有关部门报告非法干预评审工作的行为；</w:t>
      </w:r>
    </w:p>
    <w:p w14:paraId="35A8007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24.3评审小组成员应当履行下列义务：</w:t>
      </w:r>
    </w:p>
    <w:p w14:paraId="4AE4885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24.3.1遵纪守法，客观、公正、廉洁地履行职责；</w:t>
      </w:r>
    </w:p>
    <w:p w14:paraId="09E9D19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24.3.2按照</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规定的评审办法和评审标准进行评审，对评审意见承担个人责任；</w:t>
      </w:r>
    </w:p>
    <w:p w14:paraId="52E41A7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24.3.3对评审过程和结果，以及响应人的商业秘密保密；</w:t>
      </w:r>
    </w:p>
    <w:p w14:paraId="6311DAF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24.3.4参与评审报告的起草；</w:t>
      </w:r>
    </w:p>
    <w:p w14:paraId="3AD2F01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24.3.5配合采购代理机构答复响应供应商提出的质疑；</w:t>
      </w:r>
    </w:p>
    <w:p w14:paraId="03BF7B7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24.3.6配合相关部门的投诉处理工作；</w:t>
      </w:r>
    </w:p>
    <w:p w14:paraId="53CE9933">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25. 评审内容的保密</w:t>
      </w:r>
    </w:p>
    <w:p w14:paraId="5666466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25.1公开开标后，直到宣布授予</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合同为止，凡属于审查、澄清、评价和比较响应的所有资料，有关授予合同的信息都不应向响应人或与评审无关的其他人泄露。</w:t>
      </w:r>
    </w:p>
    <w:p w14:paraId="0B0FB5D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25.2 在响应文件的审查、澄清、评价和比较以及授予合同的过程中，响应人对采购代理机构和评审小组成员施加影响的任何行为，都将取消其响应资格。</w:t>
      </w:r>
    </w:p>
    <w:p w14:paraId="52D8145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25.3在评审期间，采购代理机构将通过指定联络人与响应人进行联系。</w:t>
      </w:r>
    </w:p>
    <w:p w14:paraId="3BE93C55">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26.对</w:t>
      </w:r>
      <w:r>
        <w:rPr>
          <w:rFonts w:hint="eastAsia" w:ascii="宋体" w:hAnsi="宋体" w:eastAsia="宋体" w:cs="宋体"/>
          <w:b/>
          <w:kern w:val="0"/>
          <w:sz w:val="24"/>
          <w:szCs w:val="24"/>
          <w:highlight w:val="none"/>
        </w:rPr>
        <w:t>响应文件</w:t>
      </w:r>
      <w:r>
        <w:rPr>
          <w:rFonts w:ascii="宋体" w:hAnsi="宋体" w:eastAsia="宋体" w:cs="宋体"/>
          <w:b/>
          <w:kern w:val="0"/>
          <w:sz w:val="24"/>
          <w:szCs w:val="24"/>
          <w:highlight w:val="none"/>
        </w:rPr>
        <w:t>初审</w:t>
      </w:r>
    </w:p>
    <w:p w14:paraId="65343DB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26.1</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初审分为资格性检查和符合性检查。</w:t>
      </w:r>
    </w:p>
    <w:p w14:paraId="34FE9FA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26.1.1资格性检查。依据法律法规和</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的规定，采购人或者采购代理机构依法对响应人的资格进行审查。对</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中的资格证明等进行审查，以确定响应供应商是否具备响应资格。</w:t>
      </w:r>
    </w:p>
    <w:p w14:paraId="0EB7502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26.1.2 关于信用记录查询：</w:t>
      </w:r>
    </w:p>
    <w:p w14:paraId="6B8DF8F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A7479B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Arial" w:hAnsi="Arial" w:eastAsia="宋体" w:cs="Times New Roman"/>
          <w:kern w:val="0"/>
          <w:sz w:val="24"/>
          <w:szCs w:val="24"/>
          <w:highlight w:val="none"/>
          <w:lang w:eastAsia="zh-CN"/>
        </w:rPr>
      </w:pPr>
      <w:r>
        <w:rPr>
          <w:rFonts w:ascii="宋体" w:hAnsi="宋体" w:eastAsia="宋体" w:cs="宋体"/>
          <w:kern w:val="0"/>
          <w:sz w:val="24"/>
          <w:szCs w:val="24"/>
          <w:highlight w:val="none"/>
        </w:rPr>
        <w:t>26.1.2.1查询时间：评审</w:t>
      </w:r>
      <w:r>
        <w:rPr>
          <w:rFonts w:hint="eastAsia" w:ascii="宋体" w:hAnsi="宋体" w:eastAsia="宋体" w:cs="宋体"/>
          <w:kern w:val="0"/>
          <w:sz w:val="24"/>
          <w:szCs w:val="24"/>
          <w:highlight w:val="none"/>
          <w:lang w:val="en-US" w:eastAsia="zh-CN"/>
        </w:rPr>
        <w:t>阶段</w:t>
      </w:r>
    </w:p>
    <w:p w14:paraId="4111382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26.1.2.2查询渠道：通过“信用中国”网站、中国政府采购网等渠道查询相关主体信用记录。</w:t>
      </w:r>
    </w:p>
    <w:p w14:paraId="615EC59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754A113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26.1.2.4信用记录使用规则：评审小组在对供应商进行资格性审查时，应根据查询结果对供应商的不良信用记录逐项甄别确认。</w:t>
      </w:r>
    </w:p>
    <w:p w14:paraId="429783B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26.1.3符合性检查。依据</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的规定，从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的有效性、完整性和对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的响应程度进行审查，以确定是否对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的实质性要求作出响应。</w:t>
      </w:r>
    </w:p>
    <w:p w14:paraId="33944ED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26.2开标后，评审小组将审查</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是否实质性响应</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的要求、内容是否完整、价格构成有无计算错误、文件签署是否齐全等。</w:t>
      </w:r>
    </w:p>
    <w:p w14:paraId="5735C89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26.3在详细评审之前，评审小组将首先审查每份响应书是否实质响应了</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的要求。实质上的响应应该是与</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的全部条款、条件和规格相符，没有重大偏离或保留。所谓重大偏离或保留是指影响合同的供货范围、质量和性能等；或者在实质上与</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不一致〔如货物和服务的质量、数量明显不能满足</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的要求〕，而且限制了合同中买方的权利或响应单位的义务。这些偏离或保留将会对其他实质上响应要求的响应单位的竞争地位产生不公正的影响。</w:t>
      </w:r>
    </w:p>
    <w:p w14:paraId="28323D5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26.4</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提供的工艺、材料、设备、参考的商标或样本目录号码等仅作为说明并没有限制性，响应供应商在响应中可以选用替代标准，但这些替代标准要优于或相当于技术规格中要求的标准，以满足采购单位的需要。</w:t>
      </w:r>
    </w:p>
    <w:p w14:paraId="5E32491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进行实质性修改，否则</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将被拒绝。</w:t>
      </w:r>
    </w:p>
    <w:p w14:paraId="0F5F6D2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26.6评审小组将对确定为实质性响应的响应进行审核，看其是否有计算上或累加上的算术错误，修正错误的原则如下：</w:t>
      </w:r>
    </w:p>
    <w:p w14:paraId="0C37C7D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26.6.1</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中开标一览表（报价表）内容与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中相应内容不一致的，以开标一览表（报价表）为准；</w:t>
      </w:r>
    </w:p>
    <w:p w14:paraId="56C8BE31">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26.6.2大写金额和小写金额不一致的，以大写金额为准；</w:t>
      </w:r>
    </w:p>
    <w:p w14:paraId="787699F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26.6.3单价金额小数点或者百分比有明显错位的，以开标一览表的总价为准，并修改单价；</w:t>
      </w:r>
    </w:p>
    <w:p w14:paraId="7AD0BFB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26.6.4总价金额与按单价汇总金额不一致的，以单价金额计算结果为准。</w:t>
      </w:r>
    </w:p>
    <w:p w14:paraId="69B180E9">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b/>
          <w:kern w:val="0"/>
          <w:sz w:val="24"/>
          <w:szCs w:val="24"/>
          <w:highlight w:val="none"/>
        </w:rPr>
      </w:pPr>
      <w:r>
        <w:rPr>
          <w:rFonts w:ascii="宋体" w:hAnsi="宋体" w:eastAsia="宋体" w:cs="宋体"/>
          <w:kern w:val="0"/>
          <w:sz w:val="24"/>
          <w:szCs w:val="24"/>
          <w:highlight w:val="none"/>
        </w:rPr>
        <w:t>同时出现两种以上不一致的，按照前款规定的顺序修正。修正后的报价按照本须知26.6条规定经响应人确认后产生约束力，响应人不确认的，其响应无效。</w:t>
      </w:r>
    </w:p>
    <w:p w14:paraId="44FA77E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700373C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异常低价投标（响应）审查的情形和具体要求如下：</w:t>
      </w:r>
    </w:p>
    <w:p w14:paraId="16AEBB0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26.7.1投标（响应）报价低于采购项目预算50%的，即投标（响应）报价&lt;采购项目预算*50%；</w:t>
      </w:r>
    </w:p>
    <w:p w14:paraId="317C64D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26.7.2投标（响应）报价低于采购项目最高限价45%的，即投标（响应）报价&lt;采购项目最高限价*45%；</w:t>
      </w:r>
    </w:p>
    <w:p w14:paraId="1EA980A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26.7.3评审委员会认定的供应商报价过低、有可能影响产品质量或者不能诚信履约的其他情形。</w:t>
      </w:r>
    </w:p>
    <w:p w14:paraId="304B87A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26.8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404666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26.9对不同文字文本投标文件的解释发生异议的，以中文文本为准。</w:t>
      </w:r>
    </w:p>
    <w:p w14:paraId="3C92D6F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26.10评标委员会对投标文件的判定，只依据投标内容本身，不依靠开标后的任何外来证明。</w:t>
      </w:r>
    </w:p>
    <w:p w14:paraId="3648093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26.11评标委员会将拒绝被确定为非实质性响应的投标，投标人不能通过修正或撤销不符之处而使其投标成为实质性响应的投标。</w:t>
      </w:r>
    </w:p>
    <w:p w14:paraId="6388F04C">
      <w:pPr>
        <w:pStyle w:val="9"/>
        <w:rPr>
          <w:rFonts w:ascii="宋体" w:hAnsi="宋体" w:eastAsia="宋体" w:cs="宋体"/>
          <w:b/>
          <w:kern w:val="0"/>
          <w:sz w:val="24"/>
          <w:szCs w:val="24"/>
          <w:highlight w:val="none"/>
        </w:rPr>
      </w:pPr>
    </w:p>
    <w:p w14:paraId="3387AD49">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27.响应的澄清</w:t>
      </w:r>
    </w:p>
    <w:p w14:paraId="682D88D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27.1在</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的范围或者改变</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的实质性内容。</w:t>
      </w:r>
    </w:p>
    <w:p w14:paraId="7F4F9D85">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28.无效响应和废标</w:t>
      </w:r>
    </w:p>
    <w:p w14:paraId="3A48994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28.1无效响应的具体情形有：  </w:t>
      </w:r>
    </w:p>
    <w:p w14:paraId="79D5787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28.1.1响应文件未按采购文件要求签署、盖章或电子签章的；</w:t>
      </w:r>
    </w:p>
    <w:p w14:paraId="2D6A638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28.1.2不具备采购文件中规定的资格要求的；</w:t>
      </w:r>
    </w:p>
    <w:p w14:paraId="0E4340C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28.1.3报价超过采购文件中规定的预算金额或者最高限价的；</w:t>
      </w:r>
    </w:p>
    <w:p w14:paraId="56C3E52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28.1.4响应文件含有采购人不能接受的附加条件的；</w:t>
      </w:r>
    </w:p>
    <w:p w14:paraId="076EADB8">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28.1.5法律、法规和采购文件规定的其他无效情形。</w:t>
      </w:r>
    </w:p>
    <w:p w14:paraId="4855C24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28.2 在采购中，出现下列情形之一的，应予废标：</w:t>
      </w:r>
    </w:p>
    <w:p w14:paraId="7E662C7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28.2.1出现影响采购公正的违法、违规行为的；</w:t>
      </w:r>
    </w:p>
    <w:p w14:paraId="59639A8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28.2.2响应供应商的报价均超过了采购预算，采购人不能支付的；</w:t>
      </w:r>
    </w:p>
    <w:p w14:paraId="7A88A90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28.2.3因重大变故，采购任务取消的。</w:t>
      </w:r>
    </w:p>
    <w:p w14:paraId="3B56E5F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28.3 废标后，采购人应当将废标理由通知所有响应供应商。</w:t>
      </w:r>
    </w:p>
    <w:p w14:paraId="51FAEF71">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29. </w:t>
      </w:r>
      <w:r>
        <w:rPr>
          <w:rFonts w:hint="eastAsia" w:ascii="宋体" w:hAnsi="宋体" w:eastAsia="宋体" w:cs="宋体"/>
          <w:b/>
          <w:kern w:val="0"/>
          <w:sz w:val="24"/>
          <w:szCs w:val="24"/>
          <w:highlight w:val="none"/>
        </w:rPr>
        <w:t>响应文件</w:t>
      </w:r>
      <w:r>
        <w:rPr>
          <w:rFonts w:ascii="宋体" w:hAnsi="宋体" w:eastAsia="宋体" w:cs="宋体"/>
          <w:b/>
          <w:kern w:val="0"/>
          <w:sz w:val="24"/>
          <w:szCs w:val="24"/>
          <w:highlight w:val="none"/>
        </w:rPr>
        <w:t>的评价和比较</w:t>
      </w:r>
    </w:p>
    <w:p w14:paraId="4340300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29.1评审小组按</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规定的评审方法和标准，仅对资格性检查和符合性检查合格的</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进行商务和技术评估，综合比较与评价。</w:t>
      </w:r>
    </w:p>
    <w:p w14:paraId="71A9B80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29.2评价和比较采用综合评分法，评审小组严格按照</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的要求、条件、评分标准，对响应单位所提供货物和服务的先进性、可靠性、售后服务承诺、质量保证承诺等实质性响应内容进行比较报价，同时考虑以下因素：    </w:t>
      </w:r>
    </w:p>
    <w:p w14:paraId="6AFED46C">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29.2.1服务的质量保证（保障）内容；</w:t>
      </w:r>
    </w:p>
    <w:p w14:paraId="185D29D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29.2.2服务配备的人员；</w:t>
      </w:r>
    </w:p>
    <w:p w14:paraId="0DB29F0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29.2.3响应者的资信情况和履约能力；</w:t>
      </w:r>
    </w:p>
    <w:p w14:paraId="700ED81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29.2.4响应者提供的其他优惠条件；</w:t>
      </w:r>
    </w:p>
    <w:p w14:paraId="6B144CD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29.2.5参与本项目政府采购工作的态度及信誉；</w:t>
      </w:r>
    </w:p>
    <w:p w14:paraId="4160314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29.2.6最低的响应报价或最高的折扣比例是成交的重要条件，但不是唯一条件。</w:t>
      </w:r>
    </w:p>
    <w:p w14:paraId="63EDD207">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七、授予合同</w:t>
      </w:r>
    </w:p>
    <w:p w14:paraId="4B54F854">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30. </w:t>
      </w:r>
      <w:r>
        <w:rPr>
          <w:rFonts w:hint="eastAsia" w:ascii="宋体" w:hAnsi="宋体" w:eastAsia="宋体" w:cs="宋体"/>
          <w:b/>
          <w:kern w:val="0"/>
          <w:sz w:val="24"/>
          <w:szCs w:val="24"/>
          <w:highlight w:val="none"/>
        </w:rPr>
        <w:t>成交供应商</w:t>
      </w:r>
      <w:r>
        <w:rPr>
          <w:rFonts w:ascii="宋体" w:hAnsi="宋体" w:eastAsia="宋体" w:cs="宋体"/>
          <w:b/>
          <w:kern w:val="0"/>
          <w:sz w:val="24"/>
          <w:szCs w:val="24"/>
          <w:highlight w:val="none"/>
        </w:rPr>
        <w:t>的确认          </w:t>
      </w:r>
    </w:p>
    <w:p w14:paraId="0037F6D0">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30.1评审小组按</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规定的评审方法和标准进行详细评审后，按采购人的委托向采购人推荐成交候选单位或根据采购人授权直接确定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542C6AF3">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30.2经评审小组评审并确定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后，采购人或授权采购代理机构将在规定的时间内将成交结果在相关媒体上予以公告。</w:t>
      </w:r>
    </w:p>
    <w:p w14:paraId="73EC755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32C26CAB">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30.4质疑函递交地点及联系方式详见公告内容</w:t>
      </w:r>
    </w:p>
    <w:p w14:paraId="6147EE0E">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31. 合同授予标准</w:t>
      </w:r>
    </w:p>
    <w:p w14:paraId="5BB40D1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31.1采购人将把合同授予其</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在实质上响应</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要求和按本须知规定评选出的响应人。确定为成交的响应人必须具有实施本合同的能力和资源。</w:t>
      </w:r>
    </w:p>
    <w:p w14:paraId="4D4727D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31.2政府采购合同履行中，采购人需追加与合同标的物相同的货物、工程或者服务的，在不改变合同其他条款的前提下，可以与</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签订补充合同，但所有补充合同的采购金额不得超过原合同采购金额的百分之十。</w:t>
      </w:r>
    </w:p>
    <w:p w14:paraId="7867F042">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32. </w:t>
      </w:r>
      <w:r>
        <w:rPr>
          <w:rFonts w:hint="eastAsia" w:ascii="宋体" w:hAnsi="宋体" w:eastAsia="宋体" w:cs="宋体"/>
          <w:b/>
          <w:kern w:val="0"/>
          <w:sz w:val="24"/>
          <w:szCs w:val="24"/>
          <w:highlight w:val="none"/>
        </w:rPr>
        <w:t>成交通知书</w:t>
      </w:r>
    </w:p>
    <w:p w14:paraId="44882B96">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32.1确定出</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有效期截止前，采购代理机构应当向</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发出</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对采购人和</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具有同等法律效力。</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发出后，采购人改变成交结果，或者</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放弃成交，应当承担相应的法律责任。</w:t>
      </w:r>
    </w:p>
    <w:p w14:paraId="0C4781D0">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32.2</w:t>
      </w:r>
      <w:r>
        <w:rPr>
          <w:rFonts w:hint="eastAsia" w:ascii="宋体" w:hAnsi="宋体" w:eastAsia="宋体" w:cs="宋体"/>
          <w:b/>
          <w:kern w:val="0"/>
          <w:sz w:val="24"/>
          <w:szCs w:val="24"/>
          <w:highlight w:val="none"/>
        </w:rPr>
        <w:t>成交通知书</w:t>
      </w:r>
      <w:r>
        <w:rPr>
          <w:rFonts w:ascii="宋体" w:hAnsi="宋体" w:eastAsia="宋体" w:cs="宋体"/>
          <w:b/>
          <w:kern w:val="0"/>
          <w:sz w:val="24"/>
          <w:szCs w:val="24"/>
          <w:highlight w:val="none"/>
        </w:rPr>
        <w:t>在成交公告发布后将发布在业务系统中，</w:t>
      </w:r>
      <w:r>
        <w:rPr>
          <w:rFonts w:hint="eastAsia" w:ascii="宋体" w:hAnsi="宋体" w:eastAsia="宋体" w:cs="宋体"/>
          <w:b/>
          <w:kern w:val="0"/>
          <w:sz w:val="24"/>
          <w:szCs w:val="24"/>
          <w:highlight w:val="none"/>
        </w:rPr>
        <w:t>成交通知书</w:t>
      </w:r>
      <w:r>
        <w:rPr>
          <w:rFonts w:ascii="宋体" w:hAnsi="宋体" w:eastAsia="宋体" w:cs="宋体"/>
          <w:b/>
          <w:kern w:val="0"/>
          <w:sz w:val="24"/>
          <w:szCs w:val="24"/>
          <w:highlight w:val="none"/>
        </w:rPr>
        <w:t>发布之日视为</w:t>
      </w:r>
      <w:r>
        <w:rPr>
          <w:rFonts w:hint="eastAsia" w:ascii="宋体" w:hAnsi="宋体" w:eastAsia="宋体" w:cs="宋体"/>
          <w:b/>
          <w:kern w:val="0"/>
          <w:sz w:val="24"/>
          <w:szCs w:val="24"/>
          <w:highlight w:val="none"/>
        </w:rPr>
        <w:t>成交供应商</w:t>
      </w:r>
      <w:r>
        <w:rPr>
          <w:rFonts w:ascii="宋体" w:hAnsi="宋体" w:eastAsia="宋体" w:cs="宋体"/>
          <w:b/>
          <w:kern w:val="0"/>
          <w:sz w:val="24"/>
          <w:szCs w:val="24"/>
          <w:highlight w:val="none"/>
        </w:rPr>
        <w:t>领取之日，</w:t>
      </w:r>
      <w:r>
        <w:rPr>
          <w:rFonts w:hint="eastAsia" w:ascii="宋体" w:hAnsi="宋体" w:eastAsia="宋体" w:cs="宋体"/>
          <w:b/>
          <w:kern w:val="0"/>
          <w:sz w:val="24"/>
          <w:szCs w:val="24"/>
          <w:highlight w:val="none"/>
        </w:rPr>
        <w:t>成交供应商自</w:t>
      </w:r>
      <w:r>
        <w:rPr>
          <w:rFonts w:ascii="宋体" w:hAnsi="宋体" w:eastAsia="宋体" w:cs="宋体"/>
          <w:b/>
          <w:sz w:val="24"/>
          <w:highlight w:val="none"/>
        </w:rPr>
        <w:t>领取之日</w:t>
      </w:r>
      <w:r>
        <w:rPr>
          <w:rFonts w:hint="eastAsia" w:ascii="宋体" w:hAnsi="宋体" w:eastAsia="宋体" w:cs="宋体"/>
          <w:b/>
          <w:sz w:val="24"/>
          <w:highlight w:val="none"/>
        </w:rPr>
        <w:t>起3</w:t>
      </w:r>
      <w:r>
        <w:rPr>
          <w:rFonts w:ascii="宋体" w:hAnsi="宋体" w:eastAsia="宋体" w:cs="宋体"/>
          <w:b/>
          <w:sz w:val="24"/>
          <w:highlight w:val="none"/>
        </w:rPr>
        <w:t>0日内</w:t>
      </w:r>
      <w:r>
        <w:rPr>
          <w:rFonts w:ascii="宋体" w:hAnsi="宋体" w:eastAsia="宋体" w:cs="宋体"/>
          <w:b/>
          <w:kern w:val="0"/>
          <w:sz w:val="24"/>
          <w:szCs w:val="24"/>
          <w:highlight w:val="none"/>
        </w:rPr>
        <w:t>自行在业务系统中下载打印。</w:t>
      </w:r>
    </w:p>
    <w:p w14:paraId="068FEB3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ascii="宋体" w:hAnsi="宋体" w:eastAsia="宋体" w:cs="宋体"/>
          <w:b/>
          <w:sz w:val="24"/>
          <w:highlight w:val="none"/>
        </w:rPr>
        <w:t>32.3</w:t>
      </w:r>
      <w:r>
        <w:rPr>
          <w:rFonts w:hint="eastAsia" w:ascii="宋体" w:hAnsi="宋体" w:eastAsia="宋体" w:cs="宋体"/>
          <w:sz w:val="24"/>
          <w:highlight w:val="none"/>
        </w:rPr>
        <w:t>因系统存储空间有限，自中标结果公告届满之日起30日后，“苏采云”系统不再保证提供下载中标通知书服务,因未及时下载而造成的不利后果由中标供应商自行承担。</w:t>
      </w:r>
    </w:p>
    <w:p w14:paraId="0A91ABAB">
      <w:pPr>
        <w:pBdr>
          <w:top w:val="none" w:color="000000" w:sz="0" w:space="0"/>
          <w:left w:val="none" w:color="000000" w:sz="0" w:space="0"/>
          <w:bottom w:val="none" w:color="000000" w:sz="0" w:space="0"/>
          <w:right w:val="none" w:color="000000" w:sz="0" w:space="0"/>
        </w:pBdr>
        <w:spacing w:line="439" w:lineRule="atLeast"/>
        <w:ind w:firstLine="360"/>
        <w:rPr>
          <w:highlight w:val="none"/>
        </w:rPr>
      </w:pPr>
      <w:r>
        <w:rPr>
          <w:rFonts w:ascii="宋体" w:hAnsi="宋体" w:eastAsia="宋体" w:cs="宋体"/>
          <w:sz w:val="24"/>
          <w:highlight w:val="none"/>
        </w:rPr>
        <w:t>32.4</w:t>
      </w:r>
      <w:r>
        <w:rPr>
          <w:rFonts w:hint="eastAsia" w:ascii="宋体" w:hAnsi="宋体" w:eastAsia="宋体" w:cs="宋体"/>
          <w:kern w:val="0"/>
          <w:sz w:val="24"/>
          <w:szCs w:val="24"/>
          <w:highlight w:val="none"/>
        </w:rPr>
        <w:t>成交通知书</w:t>
      </w:r>
      <w:r>
        <w:rPr>
          <w:rFonts w:ascii="宋体" w:hAnsi="宋体" w:eastAsia="宋体" w:cs="宋体"/>
          <w:sz w:val="24"/>
          <w:highlight w:val="none"/>
        </w:rPr>
        <w:t>将成为合同的组成部分。</w:t>
      </w:r>
    </w:p>
    <w:p w14:paraId="74CC7D97">
      <w:pPr>
        <w:pBdr>
          <w:top w:val="none" w:color="000000" w:sz="0" w:space="0"/>
          <w:left w:val="none" w:color="000000" w:sz="0" w:space="0"/>
          <w:bottom w:val="none" w:color="000000" w:sz="0" w:space="0"/>
          <w:right w:val="none" w:color="000000" w:sz="0" w:space="0"/>
        </w:pBdr>
        <w:spacing w:line="439" w:lineRule="atLeast"/>
        <w:ind w:firstLine="360"/>
        <w:rPr>
          <w:highlight w:val="none"/>
        </w:rPr>
      </w:pPr>
      <w:r>
        <w:rPr>
          <w:rFonts w:ascii="宋体" w:hAnsi="宋体" w:eastAsia="宋体" w:cs="宋体"/>
          <w:sz w:val="24"/>
          <w:highlight w:val="none"/>
        </w:rPr>
        <w:t>32.5采购代理机构对</w:t>
      </w:r>
      <w:r>
        <w:rPr>
          <w:rFonts w:ascii="宋体" w:hAnsi="宋体" w:eastAsia="宋体" w:cs="宋体"/>
          <w:kern w:val="0"/>
          <w:sz w:val="24"/>
          <w:szCs w:val="24"/>
          <w:highlight w:val="none"/>
        </w:rPr>
        <w:t>未</w:t>
      </w:r>
      <w:r>
        <w:rPr>
          <w:rFonts w:hint="eastAsia" w:ascii="宋体" w:hAnsi="宋体" w:eastAsia="宋体" w:cs="宋体"/>
          <w:kern w:val="0"/>
          <w:sz w:val="24"/>
          <w:szCs w:val="24"/>
          <w:highlight w:val="none"/>
        </w:rPr>
        <w:t>成交</w:t>
      </w:r>
      <w:r>
        <w:rPr>
          <w:rFonts w:ascii="宋体" w:hAnsi="宋体" w:eastAsia="宋体" w:cs="宋体"/>
          <w:sz w:val="24"/>
          <w:highlight w:val="none"/>
        </w:rPr>
        <w:t>供应商不承担解释未中标原因的义务。</w:t>
      </w:r>
    </w:p>
    <w:p w14:paraId="661181BF">
      <w:pPr>
        <w:widowControl/>
        <w:pBdr>
          <w:top w:val="none" w:color="000000" w:sz="0" w:space="0"/>
          <w:left w:val="none" w:color="000000" w:sz="0" w:space="0"/>
          <w:bottom w:val="none" w:color="000000" w:sz="0" w:space="0"/>
          <w:right w:val="none" w:color="000000" w:sz="0" w:space="0"/>
        </w:pBdr>
        <w:spacing w:line="500" w:lineRule="exact"/>
        <w:ind w:firstLine="482" w:firstLineChars="200"/>
        <w:rPr>
          <w:rFonts w:ascii="Arial" w:hAnsi="Arial" w:eastAsia="Arial" w:cs="Times New Roman"/>
          <w:kern w:val="0"/>
          <w:sz w:val="24"/>
          <w:szCs w:val="24"/>
          <w:highlight w:val="none"/>
        </w:rPr>
      </w:pPr>
      <w:r>
        <w:rPr>
          <w:rFonts w:ascii="宋体" w:hAnsi="宋体" w:eastAsia="宋体" w:cs="宋体"/>
          <w:b/>
          <w:kern w:val="0"/>
          <w:sz w:val="24"/>
          <w:szCs w:val="24"/>
          <w:highlight w:val="none"/>
        </w:rPr>
        <w:t>33.履约保证金</w:t>
      </w:r>
    </w:p>
    <w:p w14:paraId="086AFD6F">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33.1</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按合同约定要求提交履约保证金。</w:t>
      </w:r>
    </w:p>
    <w:p w14:paraId="07155C8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33.2履约保证金用以约束供应商在合同履行中的行为，弥补合同执行中由于自身行为可能给采购人带来的各种损失。</w:t>
      </w:r>
    </w:p>
    <w:p w14:paraId="4F6CAF4E">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Arial" w:hAnsi="Arial" w:eastAsia="Arial" w:cs="Times New Roman"/>
          <w:kern w:val="0"/>
          <w:sz w:val="24"/>
          <w:szCs w:val="24"/>
          <w:highlight w:val="none"/>
        </w:rPr>
      </w:pPr>
      <w:r>
        <w:rPr>
          <w:rFonts w:ascii="宋体" w:hAnsi="宋体" w:eastAsia="宋体" w:cs="宋体"/>
          <w:kern w:val="0"/>
          <w:sz w:val="24"/>
          <w:szCs w:val="24"/>
          <w:highlight w:val="none"/>
        </w:rPr>
        <w:t>33.3履约保证金（无息）将在</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合同履行完毕且质保期满后，采购人在五个工作日内退返</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4BB3AE32">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34. 合同的签订</w:t>
      </w:r>
    </w:p>
    <w:p w14:paraId="0793AC8A">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11B2CF6D">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34.2成交供应商应按成交通知书中规定，由法定代表人或授权代理人与采购人代表签订合同，否则按放弃成交权处理。</w:t>
      </w:r>
    </w:p>
    <w:p w14:paraId="5983F595">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34.3签订合同及合同条款应以采购文件和成交供应商的响应文件及其澄清文件为依据。</w:t>
      </w:r>
    </w:p>
    <w:p w14:paraId="791E2EF7">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hint="eastAsia" w:ascii="宋体" w:hAnsi="宋体" w:eastAsia="宋体" w:cs="宋体"/>
          <w:kern w:val="0"/>
          <w:sz w:val="24"/>
          <w:szCs w:val="24"/>
          <w:highlight w:val="none"/>
        </w:rPr>
        <w:t>34.4成交人无正当理由拒签合同的，或在签订合同时向采购人提出附加条件或者更改合同实质性内容的，采购人可取消其成交资格，同时由成交人承担相应的法律责任</w:t>
      </w:r>
    </w:p>
    <w:p w14:paraId="76BBE144">
      <w:pPr>
        <w:widowControl/>
        <w:pBdr>
          <w:top w:val="none" w:color="000000" w:sz="0" w:space="0"/>
          <w:left w:val="none" w:color="000000" w:sz="0" w:space="0"/>
          <w:bottom w:val="none" w:color="000000" w:sz="0" w:space="0"/>
          <w:right w:val="none" w:color="000000" w:sz="0" w:space="0"/>
        </w:pBdr>
        <w:spacing w:line="500" w:lineRule="exact"/>
        <w:ind w:firstLine="480" w:firstLineChars="200"/>
        <w:rPr>
          <w:rFonts w:ascii="宋体" w:hAnsi="宋体" w:eastAsia="宋体" w:cs="宋体"/>
          <w:kern w:val="0"/>
          <w:sz w:val="24"/>
          <w:szCs w:val="24"/>
          <w:highlight w:val="none"/>
        </w:rPr>
      </w:pPr>
      <w:r>
        <w:rPr>
          <w:rFonts w:ascii="宋体" w:hAnsi="宋体" w:eastAsia="宋体" w:cs="宋体"/>
          <w:kern w:val="0"/>
          <w:sz w:val="24"/>
          <w:szCs w:val="24"/>
          <w:highlight w:val="none"/>
        </w:rPr>
        <w:t>34.5签订合同后，</w:t>
      </w:r>
      <w:r>
        <w:rPr>
          <w:rFonts w:hint="eastAsia" w:ascii="宋体" w:hAnsi="宋体" w:eastAsia="宋体" w:cs="宋体"/>
          <w:kern w:val="0"/>
          <w:sz w:val="24"/>
          <w:szCs w:val="24"/>
          <w:highlight w:val="none"/>
        </w:rPr>
        <w:t>成交人</w:t>
      </w:r>
      <w:r>
        <w:rPr>
          <w:rFonts w:ascii="宋体" w:hAnsi="宋体" w:eastAsia="宋体" w:cs="宋体"/>
          <w:kern w:val="0"/>
          <w:sz w:val="24"/>
          <w:szCs w:val="24"/>
          <w:highlight w:val="none"/>
        </w:rPr>
        <w:t>不得将货物及其他相关服务进行转包。未经采购人同意，</w:t>
      </w:r>
      <w:r>
        <w:rPr>
          <w:rFonts w:hint="eastAsia" w:ascii="宋体" w:hAnsi="宋体" w:eastAsia="宋体" w:cs="宋体"/>
          <w:kern w:val="0"/>
          <w:sz w:val="24"/>
          <w:szCs w:val="24"/>
          <w:highlight w:val="none"/>
        </w:rPr>
        <w:t>成交人</w:t>
      </w:r>
      <w:r>
        <w:rPr>
          <w:rFonts w:ascii="宋体" w:hAnsi="宋体" w:eastAsia="宋体" w:cs="宋体"/>
          <w:kern w:val="0"/>
          <w:sz w:val="24"/>
          <w:szCs w:val="24"/>
          <w:highlight w:val="none"/>
        </w:rPr>
        <w:t>也不得采用分包的形式履行合同，否则采购人有权终止合同。转包或分包造成采购人</w:t>
      </w:r>
      <w:r>
        <w:rPr>
          <w:rFonts w:hint="eastAsia" w:ascii="宋体" w:hAnsi="宋体" w:eastAsia="宋体" w:cs="宋体"/>
          <w:kern w:val="0"/>
          <w:sz w:val="24"/>
          <w:szCs w:val="24"/>
          <w:highlight w:val="none"/>
        </w:rPr>
        <w:t>损失的，成交人应承担相应赔偿责任。</w:t>
      </w:r>
    </w:p>
    <w:p w14:paraId="281C95BA">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b/>
          <w:sz w:val="24"/>
          <w:lang w:eastAsia="zh-CN"/>
        </w:rPr>
      </w:pPr>
      <w:r>
        <w:rPr>
          <w:rFonts w:hint="eastAsia" w:ascii="宋体" w:hAnsi="宋体" w:eastAsia="宋体" w:cs="宋体"/>
          <w:b/>
          <w:color w:val="000000"/>
          <w:sz w:val="24"/>
          <w:szCs w:val="24"/>
          <w:highlight w:val="none"/>
        </w:rPr>
        <w:t>八、政府采购相关政策</w:t>
      </w:r>
    </w:p>
    <w:p w14:paraId="71783E20">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 xml:space="preserve">5.1 </w:t>
      </w:r>
      <w:r>
        <w:rPr>
          <w:rFonts w:hint="eastAsia" w:ascii="宋体" w:hAnsi="宋体" w:eastAsia="宋体" w:cs="宋体"/>
          <w:sz w:val="24"/>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9EA2254">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根据《政府采购促进中小企业发展管理办法》（财库〔2020〕46号）有关规定：</w:t>
      </w:r>
    </w:p>
    <w:p w14:paraId="617A5FFC">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中小企业投标人应当提供中小企业声明函或残疾人福利性单位声明函或省级以上监狱管理局、戒毒管理局（含新疆生产建设兵团）出具的属于监狱企业的证明文件。</w:t>
      </w:r>
    </w:p>
    <w:p w14:paraId="430E10B5">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5</w:t>
      </w:r>
      <w:r>
        <w:rPr>
          <w:rFonts w:hint="eastAsia" w:ascii="宋体" w:hAnsi="宋体" w:eastAsia="宋体" w:cs="宋体"/>
          <w:sz w:val="24"/>
          <w:lang w:eastAsia="zh-CN"/>
        </w:rPr>
        <w:t>.1.1中小企业划分：</w:t>
      </w:r>
    </w:p>
    <w:p w14:paraId="604C174B">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（1）符合中小企业划分标准的个体工商户，在政府采购活动中视同中小企业。</w:t>
      </w:r>
    </w:p>
    <w:p w14:paraId="6545005C">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（2）中小企业划分标准详见“工信部联企业〔2011〕300号通知”</w:t>
      </w:r>
    </w:p>
    <w:p w14:paraId="1548058D">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5</w:t>
      </w:r>
      <w:r>
        <w:rPr>
          <w:rFonts w:hint="eastAsia" w:ascii="宋体" w:hAnsi="宋体" w:eastAsia="宋体" w:cs="宋体"/>
          <w:sz w:val="24"/>
          <w:lang w:eastAsia="zh-CN"/>
        </w:rPr>
        <w:t>.1.2残疾人福利性单位政策：</w:t>
      </w:r>
    </w:p>
    <w:p w14:paraId="777379C1">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180D5966">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36.1.3监狱企业发展政策：</w:t>
      </w:r>
    </w:p>
    <w:p w14:paraId="73DF9195">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467C3BF4">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5</w:t>
      </w:r>
      <w:r>
        <w:rPr>
          <w:rFonts w:hint="eastAsia" w:ascii="宋体" w:hAnsi="宋体" w:eastAsia="宋体" w:cs="宋体"/>
          <w:sz w:val="24"/>
          <w:lang w:eastAsia="zh-CN"/>
        </w:rPr>
        <w:t>.1.4中标、成交供应商享受规定的中小企业扶持政策的，其声明函及相关证明材料应当随中标、成交结果同时公告，接受社会监督。</w:t>
      </w:r>
    </w:p>
    <w:p w14:paraId="4E574043">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5</w:t>
      </w:r>
      <w:r>
        <w:rPr>
          <w:rFonts w:hint="eastAsia" w:ascii="宋体" w:hAnsi="宋体" w:eastAsia="宋体" w:cs="宋体"/>
          <w:sz w:val="24"/>
          <w:lang w:eastAsia="zh-CN"/>
        </w:rPr>
        <w:t>.2价格评审优惠的扶持政策</w:t>
      </w:r>
    </w:p>
    <w:p w14:paraId="75EC9E37">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val="en-US"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5</w:t>
      </w:r>
      <w:r>
        <w:rPr>
          <w:rFonts w:hint="eastAsia" w:ascii="宋体" w:hAnsi="宋体" w:eastAsia="宋体" w:cs="宋体"/>
          <w:sz w:val="24"/>
          <w:lang w:eastAsia="zh-CN"/>
        </w:rPr>
        <w:t>.2.1</w:t>
      </w:r>
      <w:r>
        <w:rPr>
          <w:rFonts w:hint="eastAsia" w:ascii="宋体" w:hAnsi="宋体" w:eastAsia="宋体" w:cs="宋体"/>
          <w:sz w:val="24"/>
          <w:lang w:val="en-US" w:eastAsia="zh-CN"/>
        </w:rPr>
        <w:t>属于</w:t>
      </w:r>
      <w:r>
        <w:rPr>
          <w:rFonts w:hint="eastAsia" w:ascii="宋体" w:hAnsi="宋体" w:eastAsia="宋体" w:cs="宋体"/>
          <w:sz w:val="24"/>
          <w:lang w:eastAsia="zh-CN"/>
        </w:rPr>
        <w:t>非专门面向中小企业的标段</w:t>
      </w:r>
      <w:r>
        <w:rPr>
          <w:rFonts w:hint="eastAsia" w:ascii="宋体" w:hAnsi="宋体" w:eastAsia="宋体" w:cs="宋体"/>
          <w:sz w:val="24"/>
          <w:lang w:val="en-US" w:eastAsia="zh-CN"/>
        </w:rPr>
        <w:t>或项目</w:t>
      </w:r>
    </w:p>
    <w:p w14:paraId="25E1FB56">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根据《政府采购促进中小企业发展管理办法》（财库﹝2020﹞46号）的规定：</w:t>
      </w:r>
    </w:p>
    <w:p w14:paraId="1EFB0E3D">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1)在货物采购项目中，货物由小、微企业制造，即货物由小、微企业生产且使用该小、微企业商号或者注册商标。对其报价给予20%的扣除，扣除后的价格参与价格评审。</w:t>
      </w:r>
    </w:p>
    <w:p w14:paraId="2B365A77">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1D2F574C">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3)在货物采购项目中，供应商提供的货物既有小、微企业制造货物，也有中、大型企业制造货物的，不享受本办法规定的小、微企业价格扶持政策。</w:t>
      </w:r>
    </w:p>
    <w:p w14:paraId="49E6780F">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4)以联合体形式参加政府采购活动，联合体各方均为中小企业的，联合体视同中小企业。其中，联合体各方均为小微企业的，联合体视同小微企业。</w:t>
      </w:r>
    </w:p>
    <w:p w14:paraId="7E5FD61F">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5)符合中小企业划分标准的个体工商户，在政府采购活动中视同中小企业。</w:t>
      </w:r>
    </w:p>
    <w:p w14:paraId="1DF594A9">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6)残疾人福利性单位及监狱企业视同小型企业，享受评审中价格扣除等促进中小企业发展的政府采购政策。</w:t>
      </w:r>
    </w:p>
    <w:p w14:paraId="463BFCF5">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7)供应商按照本办法规定提供声明函内容不实的，属于提供虚假材料谋取中标、 成交， 依照《中华人民  共和国政府采购法》 等国家有关规定追究相应责任。</w:t>
      </w:r>
    </w:p>
    <w:p w14:paraId="7F452C23">
      <w:pPr>
        <w:pBdr>
          <w:top w:val="none" w:color="000000" w:sz="0" w:space="0"/>
          <w:left w:val="none" w:color="000000" w:sz="0" w:space="0"/>
          <w:bottom w:val="none" w:color="000000" w:sz="0" w:space="0"/>
          <w:right w:val="none" w:color="000000" w:sz="0" w:space="0"/>
        </w:pBdr>
        <w:spacing w:after="0" w:line="499" w:lineRule="atLeast"/>
        <w:ind w:firstLine="480"/>
        <w:jc w:val="both"/>
        <w:rPr>
          <w:rFonts w:hint="eastAsia" w:ascii="宋体" w:hAnsi="宋体" w:eastAsia="宋体" w:cs="宋体"/>
          <w:sz w:val="24"/>
          <w:lang w:eastAsia="zh-CN"/>
        </w:rPr>
      </w:pPr>
      <w:r>
        <w:rPr>
          <w:rFonts w:hint="eastAsia" w:ascii="宋体" w:hAnsi="宋体" w:eastAsia="宋体" w:cs="宋体"/>
          <w:sz w:val="24"/>
          <w:lang w:eastAsia="zh-CN"/>
        </w:rPr>
        <w:t>3</w:t>
      </w:r>
      <w:r>
        <w:rPr>
          <w:rFonts w:hint="eastAsia" w:ascii="宋体" w:hAnsi="宋体" w:eastAsia="宋体" w:cs="宋体"/>
          <w:sz w:val="24"/>
          <w:lang w:val="en-US" w:eastAsia="zh-CN"/>
        </w:rPr>
        <w:t>5</w:t>
      </w:r>
      <w:r>
        <w:rPr>
          <w:rFonts w:hint="eastAsia" w:ascii="宋体" w:hAnsi="宋体" w:eastAsia="宋体" w:cs="宋体"/>
          <w:sz w:val="24"/>
          <w:lang w:eastAsia="zh-CN"/>
        </w:rPr>
        <w:t>.2.2属于专门面向中小企业预留采购的标段</w:t>
      </w:r>
      <w:r>
        <w:rPr>
          <w:rFonts w:hint="eastAsia" w:ascii="宋体" w:hAnsi="宋体" w:eastAsia="宋体" w:cs="宋体"/>
          <w:sz w:val="24"/>
          <w:lang w:val="en-US" w:eastAsia="zh-CN"/>
        </w:rPr>
        <w:t>或项目</w:t>
      </w:r>
      <w:r>
        <w:rPr>
          <w:rFonts w:hint="eastAsia" w:ascii="宋体" w:hAnsi="宋体" w:eastAsia="宋体" w:cs="宋体"/>
          <w:sz w:val="24"/>
          <w:lang w:eastAsia="zh-CN"/>
        </w:rPr>
        <w:t>，不再执行价格评审优惠的扶持政策。</w:t>
      </w:r>
    </w:p>
    <w:p w14:paraId="76BAA13C">
      <w:pPr>
        <w:pBdr>
          <w:top w:val="none" w:color="000000" w:sz="0" w:space="0"/>
          <w:left w:val="none" w:color="000000" w:sz="0" w:space="0"/>
          <w:bottom w:val="none" w:color="000000" w:sz="0" w:space="0"/>
          <w:right w:val="none" w:color="000000" w:sz="0" w:space="0"/>
        </w:pBdr>
        <w:spacing w:after="0" w:line="499" w:lineRule="atLeast"/>
        <w:ind w:firstLine="480"/>
        <w:jc w:val="both"/>
        <w:rPr>
          <w:rFonts w:ascii="宋体" w:hAnsi="宋体" w:eastAsia="宋体" w:cs="宋体"/>
          <w:b/>
          <w:bCs/>
          <w:sz w:val="24"/>
          <w:lang w:eastAsia="zh-CN"/>
        </w:rPr>
      </w:pPr>
      <w:r>
        <w:rPr>
          <w:rFonts w:hint="eastAsia" w:ascii="宋体" w:hAnsi="宋体" w:eastAsia="宋体" w:cs="宋体"/>
          <w:b/>
          <w:bCs/>
          <w:sz w:val="24"/>
          <w:lang w:val="en-US" w:eastAsia="zh-CN"/>
        </w:rPr>
        <w:t>36、</w:t>
      </w:r>
      <w:r>
        <w:rPr>
          <w:rFonts w:hint="eastAsia" w:ascii="宋体" w:hAnsi="宋体" w:eastAsia="宋体" w:cs="宋体"/>
          <w:b/>
          <w:bCs/>
          <w:sz w:val="24"/>
          <w:lang w:eastAsia="zh-CN"/>
        </w:rPr>
        <w:t>节能产品和环境标志产品</w:t>
      </w:r>
    </w:p>
    <w:p w14:paraId="0B1A09A1">
      <w:pPr>
        <w:pBdr>
          <w:top w:val="none" w:color="000000" w:sz="0" w:space="0"/>
          <w:left w:val="none" w:color="000000" w:sz="0" w:space="0"/>
          <w:bottom w:val="none" w:color="000000" w:sz="0" w:space="0"/>
          <w:right w:val="none" w:color="000000" w:sz="0" w:space="0"/>
        </w:pBdr>
        <w:spacing w:after="0" w:line="499" w:lineRule="atLeast"/>
        <w:ind w:firstLine="480"/>
        <w:jc w:val="both"/>
        <w:rPr>
          <w:rFonts w:hint="default" w:ascii="宋体" w:hAnsi="宋体" w:eastAsia="宋体" w:cs="宋体"/>
          <w:b/>
          <w:color w:val="auto"/>
          <w:kern w:val="0"/>
          <w:sz w:val="24"/>
          <w:szCs w:val="24"/>
          <w:highlight w:val="none"/>
          <w:lang w:val="en-US" w:eastAsia="zh-CN"/>
        </w:rPr>
      </w:pPr>
      <w:r>
        <w:rPr>
          <w:rFonts w:hint="eastAsia" w:ascii="宋体" w:hAnsi="宋体" w:eastAsia="宋体" w:cs="宋体"/>
          <w:sz w:val="24"/>
          <w:lang w:eastAsia="zh-CN"/>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355737B9">
      <w:pPr>
        <w:pBdr>
          <w:top w:val="none" w:color="000000" w:sz="0" w:space="0"/>
          <w:left w:val="none" w:color="000000" w:sz="0" w:space="0"/>
          <w:bottom w:val="none" w:color="000000" w:sz="0" w:space="0"/>
          <w:right w:val="none" w:color="000000" w:sz="0" w:space="0"/>
        </w:pBdr>
        <w:spacing w:line="439" w:lineRule="atLeast"/>
        <w:ind w:firstLine="482" w:firstLineChars="200"/>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37.绿色数据中心政策</w:t>
      </w:r>
    </w:p>
    <w:p w14:paraId="284F598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67CB10B">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38.商品包装、快递包装政策</w:t>
      </w:r>
    </w:p>
    <w:p w14:paraId="20E86C14">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eastAsia="宋体" w:cs="宋体"/>
          <w:b/>
          <w:color w:val="000000"/>
          <w:sz w:val="24"/>
          <w:szCs w:val="24"/>
          <w:highlight w:val="none"/>
        </w:rPr>
      </w:pPr>
      <w:r>
        <w:rPr>
          <w:rFonts w:hint="eastAsia" w:ascii="宋体" w:hAnsi="宋体" w:eastAsia="宋体" w:cs="宋体"/>
          <w:sz w:val="24"/>
          <w:szCs w:val="24"/>
          <w:highlight w:val="none"/>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3F9682">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 w:val="24"/>
          <w:szCs w:val="24"/>
          <w:highlight w:val="none"/>
        </w:rPr>
      </w:pPr>
      <w:r>
        <w:rPr>
          <w:rFonts w:hint="eastAsia" w:ascii="宋体" w:hAnsi="宋体" w:eastAsia="宋体" w:cs="宋体"/>
          <w:b/>
          <w:color w:val="000000"/>
          <w:sz w:val="24"/>
          <w:szCs w:val="24"/>
          <w:highlight w:val="none"/>
        </w:rPr>
        <w:t>九、其他事项</w:t>
      </w:r>
    </w:p>
    <w:p w14:paraId="7BE18F98">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 w:val="24"/>
          <w:szCs w:val="24"/>
          <w:highlight w:val="none"/>
        </w:rPr>
      </w:pPr>
      <w:r>
        <w:rPr>
          <w:rFonts w:hint="eastAsia" w:ascii="宋体" w:hAnsi="宋体" w:eastAsia="宋体" w:cs="宋体"/>
          <w:b/>
          <w:color w:val="000000"/>
          <w:sz w:val="24"/>
          <w:szCs w:val="24"/>
          <w:highlight w:val="none"/>
        </w:rPr>
        <w:t>39. 监督和公证</w:t>
      </w:r>
    </w:p>
    <w:p w14:paraId="1761C41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szCs w:val="24"/>
          <w:highlight w:val="none"/>
        </w:rPr>
      </w:pPr>
      <w:r>
        <w:rPr>
          <w:rFonts w:hint="eastAsia" w:ascii="宋体" w:hAnsi="宋体" w:eastAsia="宋体" w:cs="宋体"/>
          <w:color w:val="000000"/>
          <w:sz w:val="24"/>
          <w:szCs w:val="24"/>
          <w:highlight w:val="none"/>
        </w:rPr>
        <w:t>39.1政府有关监督部门将对招投标全过程进行监督。</w:t>
      </w:r>
    </w:p>
    <w:p w14:paraId="5D7E590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szCs w:val="24"/>
          <w:highlight w:val="none"/>
        </w:rPr>
      </w:pPr>
      <w:r>
        <w:rPr>
          <w:rFonts w:hint="eastAsia" w:ascii="宋体" w:hAnsi="宋体" w:eastAsia="宋体" w:cs="宋体"/>
          <w:color w:val="000000"/>
          <w:sz w:val="24"/>
          <w:szCs w:val="24"/>
          <w:highlight w:val="none"/>
        </w:rPr>
        <w:t>39.2采购代理机构的招标过程将通过公证机关进行公证。</w:t>
      </w:r>
    </w:p>
    <w:p w14:paraId="2BFFEB9F">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 w:val="24"/>
          <w:szCs w:val="24"/>
          <w:highlight w:val="none"/>
        </w:rPr>
      </w:pPr>
      <w:r>
        <w:rPr>
          <w:rFonts w:hint="eastAsia" w:ascii="宋体" w:hAnsi="宋体" w:eastAsia="宋体" w:cs="宋体"/>
          <w:b/>
          <w:color w:val="000000"/>
          <w:sz w:val="24"/>
          <w:szCs w:val="24"/>
          <w:highlight w:val="none"/>
        </w:rPr>
        <w:t>40.未尽事宜</w:t>
      </w:r>
    </w:p>
    <w:p w14:paraId="2D00D28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szCs w:val="24"/>
          <w:highlight w:val="none"/>
        </w:rPr>
      </w:pPr>
      <w:r>
        <w:rPr>
          <w:rFonts w:hint="eastAsia" w:ascii="宋体" w:hAnsi="宋体" w:eastAsia="宋体" w:cs="宋体"/>
          <w:color w:val="000000"/>
          <w:sz w:val="24"/>
          <w:szCs w:val="24"/>
          <w:highlight w:val="none"/>
        </w:rPr>
        <w:t>40.1按《中华人民共和国政府采购法》及其他有关法律法规的规定执行。</w:t>
      </w:r>
    </w:p>
    <w:p w14:paraId="2A89FE0E">
      <w:pPr>
        <w:jc w:val="both"/>
        <w:rPr>
          <w:rFonts w:hint="eastAsia" w:ascii="宋体" w:hAnsi="宋体" w:eastAsia="宋体" w:cs="宋体"/>
          <w:b/>
          <w:sz w:val="44"/>
          <w:highlight w:val="none"/>
        </w:rPr>
      </w:pPr>
    </w:p>
    <w:p w14:paraId="2050CD31">
      <w:pPr>
        <w:jc w:val="center"/>
        <w:rPr>
          <w:rFonts w:hint="eastAsia" w:ascii="宋体" w:hAnsi="宋体" w:eastAsia="宋体" w:cs="宋体"/>
          <w:b/>
          <w:sz w:val="44"/>
          <w:highlight w:val="none"/>
        </w:rPr>
      </w:pPr>
    </w:p>
    <w:p w14:paraId="375824EB">
      <w:pPr>
        <w:rPr>
          <w:rFonts w:hint="eastAsia" w:ascii="宋体" w:hAnsi="宋体" w:eastAsia="宋体" w:cs="宋体"/>
          <w:b/>
          <w:sz w:val="44"/>
          <w:highlight w:val="none"/>
        </w:rPr>
      </w:pPr>
      <w:r>
        <w:rPr>
          <w:rFonts w:hint="eastAsia" w:ascii="宋体" w:hAnsi="宋体" w:eastAsia="宋体" w:cs="宋体"/>
          <w:b/>
          <w:sz w:val="44"/>
          <w:highlight w:val="none"/>
        </w:rPr>
        <w:br w:type="page"/>
      </w:r>
    </w:p>
    <w:p w14:paraId="356355A8">
      <w:pPr>
        <w:jc w:val="center"/>
        <w:rPr>
          <w:rFonts w:hint="eastAsia" w:ascii="宋体" w:hAnsi="宋体" w:eastAsia="宋体" w:cs="宋体"/>
          <w:b/>
          <w:sz w:val="44"/>
          <w:highlight w:val="none"/>
        </w:rPr>
      </w:pPr>
      <w:r>
        <w:rPr>
          <w:rFonts w:hint="eastAsia" w:ascii="宋体" w:hAnsi="宋体" w:eastAsia="宋体" w:cs="宋体"/>
          <w:b/>
          <w:sz w:val="44"/>
          <w:highlight w:val="none"/>
        </w:rPr>
        <w:t>第三部分 单一来源采购文件需求</w:t>
      </w:r>
    </w:p>
    <w:p w14:paraId="25551BF4">
      <w:pPr>
        <w:jc w:val="center"/>
        <w:rPr>
          <w:rFonts w:hint="eastAsia" w:ascii="宋体" w:hAnsi="宋体" w:eastAsia="宋体" w:cs="宋体"/>
          <w:b/>
          <w:sz w:val="44"/>
          <w:highlight w:val="none"/>
        </w:rPr>
      </w:pPr>
    </w:p>
    <w:p w14:paraId="4BF157CF">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both"/>
        <w:textAlignment w:val="auto"/>
        <w:rPr>
          <w:rFonts w:hint="eastAsia" w:ascii="宋体" w:hAnsi="宋体" w:eastAsia="宋体" w:cs="宋体"/>
          <w:b/>
          <w:bCs/>
          <w:sz w:val="24"/>
          <w:szCs w:val="21"/>
          <w:lang w:val="en-US" w:eastAsia="zh-CN"/>
        </w:rPr>
      </w:pPr>
      <w:r>
        <w:rPr>
          <w:rFonts w:hint="eastAsia" w:ascii="宋体" w:hAnsi="宋体" w:eastAsia="宋体" w:cs="宋体"/>
          <w:b/>
          <w:bCs/>
          <w:sz w:val="24"/>
          <w:szCs w:val="21"/>
          <w:lang w:val="en-US" w:eastAsia="zh-CN"/>
        </w:rPr>
        <w:t>一、项目背景</w:t>
      </w:r>
    </w:p>
    <w:p w14:paraId="379AE95C">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按照数字政府建设要求，构建</w:t>
      </w:r>
      <w:r>
        <w:rPr>
          <w:rFonts w:hint="eastAsia" w:ascii="宋体" w:hAnsi="宋体" w:eastAsia="宋体" w:cs="宋体"/>
          <w:sz w:val="24"/>
          <w:szCs w:val="24"/>
          <w:lang w:val="en-US" w:eastAsia="zh-CN"/>
        </w:rPr>
        <w:t>电子</w:t>
      </w:r>
      <w:r>
        <w:rPr>
          <w:rFonts w:hint="eastAsia" w:ascii="宋体" w:hAnsi="宋体" w:eastAsia="宋体" w:cs="宋体"/>
          <w:sz w:val="24"/>
          <w:szCs w:val="24"/>
        </w:rPr>
        <w:t>政务</w:t>
      </w:r>
      <w:r>
        <w:rPr>
          <w:rFonts w:hint="eastAsia" w:ascii="宋体" w:hAnsi="宋体" w:eastAsia="宋体" w:cs="宋体"/>
          <w:sz w:val="24"/>
          <w:szCs w:val="24"/>
          <w:lang w:val="en-US" w:eastAsia="zh-CN"/>
        </w:rPr>
        <w:t>外</w:t>
      </w:r>
      <w:r>
        <w:rPr>
          <w:rFonts w:hint="eastAsia" w:ascii="宋体" w:hAnsi="宋体" w:eastAsia="宋体" w:cs="宋体"/>
          <w:sz w:val="24"/>
          <w:szCs w:val="24"/>
        </w:rPr>
        <w:t>网资源体系，实现政务系统的集约共建，数据共享互通。近年来，随着信息技术的快速发展和电子政务的深入推进，我市对于高效、安全、稳定的信息化基础设施的需求日益增长。</w:t>
      </w:r>
      <w:r>
        <w:rPr>
          <w:rFonts w:hint="eastAsia" w:ascii="宋体" w:hAnsi="宋体" w:eastAsia="宋体" w:cs="宋体"/>
          <w:sz w:val="24"/>
          <w:szCs w:val="24"/>
          <w:lang w:val="en-US" w:eastAsia="zh-CN"/>
        </w:rPr>
        <w:t>电子政务外网</w:t>
      </w:r>
      <w:r>
        <w:rPr>
          <w:rFonts w:hint="eastAsia" w:ascii="宋体" w:hAnsi="宋体" w:eastAsia="宋体" w:cs="宋体"/>
          <w:sz w:val="24"/>
          <w:szCs w:val="24"/>
        </w:rPr>
        <w:t>基础资源服务作为支撑政府信息化建设的重要基石，随着太仓数字政府建设快速推进，我市已形成统筹集中的政务资源池，政务网延伸到全市委办局、镇村（社区），形成相对完备的信息安全体系和运维体系。</w:t>
      </w:r>
    </w:p>
    <w:p w14:paraId="2EE4BA07">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default" w:ascii="Times New Roman" w:hAnsi="Times New Roman" w:eastAsia="宋体"/>
          <w:sz w:val="24"/>
          <w:szCs w:val="21"/>
          <w:lang w:val="en-US" w:eastAsia="zh-CN"/>
        </w:rPr>
      </w:pPr>
      <w:r>
        <w:rPr>
          <w:rFonts w:hint="default" w:ascii="Times New Roman" w:hAnsi="Times New Roman" w:eastAsia="宋体"/>
          <w:sz w:val="24"/>
          <w:szCs w:val="21"/>
          <w:lang w:val="en-US" w:eastAsia="zh-CN"/>
        </w:rPr>
        <w:t>为保障政府信息系统安全稳定运行，计划采购电子政务外网设备更新、维保及驻场服务；电子政务外网和政务信息系统安全防护；政务信息系统数据定时备份和异地容灾备份；电子政务外网乡镇覆盖服务；专网、专用系统机柜租赁服务。</w:t>
      </w:r>
    </w:p>
    <w:p w14:paraId="4A13215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both"/>
        <w:textAlignment w:val="auto"/>
        <w:rPr>
          <w:rFonts w:hint="default" w:ascii="宋体" w:hAnsi="宋体" w:eastAsia="宋体" w:cs="宋体"/>
          <w:b/>
          <w:bCs/>
          <w:sz w:val="24"/>
          <w:szCs w:val="21"/>
          <w:lang w:val="en-US" w:eastAsia="zh-CN"/>
        </w:rPr>
      </w:pPr>
      <w:r>
        <w:rPr>
          <w:rFonts w:hint="eastAsia" w:ascii="宋体" w:hAnsi="宋体" w:eastAsia="宋体" w:cs="宋体"/>
          <w:b/>
          <w:bCs/>
          <w:sz w:val="24"/>
          <w:szCs w:val="21"/>
          <w:lang w:val="en-US" w:eastAsia="zh-CN"/>
        </w:rPr>
        <w:t>二、采购清单</w:t>
      </w:r>
    </w:p>
    <w:tbl>
      <w:tblPr>
        <w:tblStyle w:val="26"/>
        <w:tblW w:w="8036" w:type="dxa"/>
        <w:jc w:val="center"/>
        <w:tblLayout w:type="fixed"/>
        <w:tblCellMar>
          <w:top w:w="0" w:type="dxa"/>
          <w:left w:w="108" w:type="dxa"/>
          <w:bottom w:w="0" w:type="dxa"/>
          <w:right w:w="108" w:type="dxa"/>
        </w:tblCellMar>
      </w:tblPr>
      <w:tblGrid>
        <w:gridCol w:w="779"/>
        <w:gridCol w:w="3855"/>
        <w:gridCol w:w="1701"/>
        <w:gridCol w:w="1701"/>
      </w:tblGrid>
      <w:tr w14:paraId="35BF50C7">
        <w:tblPrEx>
          <w:tblCellMar>
            <w:top w:w="0" w:type="dxa"/>
            <w:left w:w="108" w:type="dxa"/>
            <w:bottom w:w="0" w:type="dxa"/>
            <w:right w:w="108" w:type="dxa"/>
          </w:tblCellMar>
        </w:tblPrEx>
        <w:trPr>
          <w:jc w:val="center"/>
        </w:trPr>
        <w:tc>
          <w:tcPr>
            <w:tcW w:w="77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303B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序号</w:t>
            </w:r>
          </w:p>
        </w:tc>
        <w:tc>
          <w:tcPr>
            <w:tcW w:w="3855" w:type="dxa"/>
            <w:tcBorders>
              <w:top w:val="single" w:color="auto" w:sz="4" w:space="0"/>
              <w:left w:val="nil"/>
              <w:bottom w:val="single" w:color="auto" w:sz="4" w:space="0"/>
              <w:right w:val="single" w:color="auto" w:sz="4" w:space="0"/>
            </w:tcBorders>
            <w:shd w:val="clear" w:color="auto" w:fill="auto"/>
            <w:noWrap/>
            <w:vAlign w:val="center"/>
          </w:tcPr>
          <w:p w14:paraId="4B46E8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项目内容</w:t>
            </w:r>
          </w:p>
        </w:tc>
        <w:tc>
          <w:tcPr>
            <w:tcW w:w="1701" w:type="dxa"/>
            <w:tcBorders>
              <w:top w:val="single" w:color="auto" w:sz="4" w:space="0"/>
              <w:left w:val="nil"/>
              <w:bottom w:val="single" w:color="auto" w:sz="4" w:space="0"/>
              <w:right w:val="single" w:color="auto" w:sz="4" w:space="0"/>
            </w:tcBorders>
            <w:shd w:val="clear" w:color="auto" w:fill="auto"/>
            <w:noWrap/>
            <w:vAlign w:val="center"/>
          </w:tcPr>
          <w:p w14:paraId="33970E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单位</w:t>
            </w:r>
          </w:p>
        </w:tc>
        <w:tc>
          <w:tcPr>
            <w:tcW w:w="1701" w:type="dxa"/>
            <w:tcBorders>
              <w:top w:val="single" w:color="auto" w:sz="4" w:space="0"/>
              <w:left w:val="nil"/>
              <w:bottom w:val="single" w:color="auto" w:sz="4" w:space="0"/>
              <w:right w:val="single" w:color="auto" w:sz="4" w:space="0"/>
            </w:tcBorders>
            <w:noWrap/>
            <w:vAlign w:val="center"/>
          </w:tcPr>
          <w:p w14:paraId="43B01F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数量</w:t>
            </w:r>
          </w:p>
        </w:tc>
      </w:tr>
      <w:tr w14:paraId="79A414A1">
        <w:tblPrEx>
          <w:tblCellMar>
            <w:top w:w="0" w:type="dxa"/>
            <w:left w:w="108" w:type="dxa"/>
            <w:bottom w:w="0" w:type="dxa"/>
            <w:right w:w="108" w:type="dxa"/>
          </w:tblCellMar>
        </w:tblPrEx>
        <w:trPr>
          <w:jc w:val="center"/>
        </w:trPr>
        <w:tc>
          <w:tcPr>
            <w:tcW w:w="779" w:type="dxa"/>
            <w:tcBorders>
              <w:top w:val="nil"/>
              <w:left w:val="single" w:color="auto" w:sz="4" w:space="0"/>
              <w:bottom w:val="single" w:color="auto" w:sz="4" w:space="0"/>
              <w:right w:val="single" w:color="auto" w:sz="4" w:space="0"/>
            </w:tcBorders>
            <w:shd w:val="clear" w:color="auto" w:fill="auto"/>
            <w:noWrap/>
            <w:vAlign w:val="center"/>
          </w:tcPr>
          <w:p w14:paraId="2DC55E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c>
          <w:tcPr>
            <w:tcW w:w="3855" w:type="dxa"/>
            <w:tcBorders>
              <w:top w:val="nil"/>
              <w:left w:val="nil"/>
              <w:bottom w:val="single" w:color="auto" w:sz="4" w:space="0"/>
              <w:right w:val="single" w:color="auto" w:sz="4" w:space="0"/>
            </w:tcBorders>
            <w:shd w:val="clear" w:color="auto" w:fill="auto"/>
            <w:noWrap/>
            <w:vAlign w:val="center"/>
          </w:tcPr>
          <w:p w14:paraId="31FE03E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电子政务外网设备更新、维保及驻场运维服务</w:t>
            </w:r>
          </w:p>
        </w:tc>
        <w:tc>
          <w:tcPr>
            <w:tcW w:w="1701" w:type="dxa"/>
            <w:tcBorders>
              <w:top w:val="nil"/>
              <w:left w:val="nil"/>
              <w:bottom w:val="single" w:color="auto" w:sz="4" w:space="0"/>
              <w:right w:val="single" w:color="auto" w:sz="4" w:space="0"/>
            </w:tcBorders>
            <w:shd w:val="clear" w:color="auto" w:fill="auto"/>
            <w:noWrap/>
            <w:vAlign w:val="center"/>
          </w:tcPr>
          <w:p w14:paraId="0651595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lang w:val="en-US" w:eastAsia="zh-CN"/>
              </w:rPr>
            </w:pPr>
            <w:r>
              <w:rPr>
                <w:rFonts w:hint="eastAsia" w:ascii="Times New Roman" w:hAnsi="Times New Roman" w:eastAsia="宋体"/>
                <w:sz w:val="24"/>
                <w:szCs w:val="21"/>
                <w:lang w:val="en-US" w:eastAsia="zh-CN"/>
              </w:rPr>
              <w:t>项</w:t>
            </w:r>
          </w:p>
        </w:tc>
        <w:tc>
          <w:tcPr>
            <w:tcW w:w="1701" w:type="dxa"/>
            <w:tcBorders>
              <w:top w:val="single" w:color="auto" w:sz="4" w:space="0"/>
              <w:left w:val="nil"/>
              <w:bottom w:val="single" w:color="auto" w:sz="4" w:space="0"/>
              <w:right w:val="single" w:color="auto" w:sz="4" w:space="0"/>
            </w:tcBorders>
            <w:noWrap/>
            <w:vAlign w:val="center"/>
          </w:tcPr>
          <w:p w14:paraId="642D8E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r>
      <w:tr w14:paraId="77E0994D">
        <w:tblPrEx>
          <w:tblCellMar>
            <w:top w:w="0" w:type="dxa"/>
            <w:left w:w="108" w:type="dxa"/>
            <w:bottom w:w="0" w:type="dxa"/>
            <w:right w:w="108" w:type="dxa"/>
          </w:tblCellMar>
        </w:tblPrEx>
        <w:trPr>
          <w:jc w:val="center"/>
        </w:trPr>
        <w:tc>
          <w:tcPr>
            <w:tcW w:w="779" w:type="dxa"/>
            <w:tcBorders>
              <w:top w:val="nil"/>
              <w:left w:val="single" w:color="auto" w:sz="4" w:space="0"/>
              <w:bottom w:val="single" w:color="auto" w:sz="4" w:space="0"/>
              <w:right w:val="single" w:color="auto" w:sz="4" w:space="0"/>
            </w:tcBorders>
            <w:shd w:val="clear" w:color="auto" w:fill="auto"/>
            <w:noWrap/>
            <w:vAlign w:val="center"/>
          </w:tcPr>
          <w:p w14:paraId="4BD5CCF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lang w:val="en-US" w:eastAsia="zh-CN"/>
              </w:rPr>
            </w:pPr>
            <w:r>
              <w:rPr>
                <w:rFonts w:hint="eastAsia" w:ascii="Times New Roman" w:hAnsi="Times New Roman" w:eastAsia="宋体"/>
                <w:sz w:val="24"/>
                <w:szCs w:val="21"/>
                <w:lang w:val="en-US" w:eastAsia="zh-CN"/>
              </w:rPr>
              <w:t>2</w:t>
            </w:r>
          </w:p>
        </w:tc>
        <w:tc>
          <w:tcPr>
            <w:tcW w:w="3855" w:type="dxa"/>
            <w:tcBorders>
              <w:top w:val="nil"/>
              <w:left w:val="nil"/>
              <w:bottom w:val="single" w:color="auto" w:sz="4" w:space="0"/>
              <w:right w:val="single" w:color="auto" w:sz="4" w:space="0"/>
            </w:tcBorders>
            <w:shd w:val="clear" w:color="auto" w:fill="auto"/>
            <w:noWrap/>
            <w:vAlign w:val="center"/>
          </w:tcPr>
          <w:p w14:paraId="228C51A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电子政务外网和政务信息系统安全防护</w:t>
            </w:r>
          </w:p>
        </w:tc>
        <w:tc>
          <w:tcPr>
            <w:tcW w:w="1701" w:type="dxa"/>
            <w:tcBorders>
              <w:top w:val="nil"/>
              <w:left w:val="nil"/>
              <w:bottom w:val="single" w:color="auto" w:sz="4" w:space="0"/>
              <w:right w:val="single" w:color="auto" w:sz="4" w:space="0"/>
            </w:tcBorders>
            <w:shd w:val="clear" w:color="auto" w:fill="auto"/>
            <w:noWrap/>
            <w:vAlign w:val="center"/>
          </w:tcPr>
          <w:p w14:paraId="73682F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lang w:val="en-US" w:eastAsia="zh-CN"/>
              </w:rPr>
              <w:t>项</w:t>
            </w:r>
          </w:p>
        </w:tc>
        <w:tc>
          <w:tcPr>
            <w:tcW w:w="1701" w:type="dxa"/>
            <w:tcBorders>
              <w:top w:val="single" w:color="auto" w:sz="4" w:space="0"/>
              <w:left w:val="nil"/>
              <w:bottom w:val="single" w:color="auto" w:sz="4" w:space="0"/>
              <w:right w:val="single" w:color="auto" w:sz="4" w:space="0"/>
            </w:tcBorders>
            <w:noWrap/>
            <w:vAlign w:val="center"/>
          </w:tcPr>
          <w:p w14:paraId="3F0876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r>
      <w:tr w14:paraId="73F2EBCD">
        <w:tblPrEx>
          <w:tblCellMar>
            <w:top w:w="0" w:type="dxa"/>
            <w:left w:w="108" w:type="dxa"/>
            <w:bottom w:w="0" w:type="dxa"/>
            <w:right w:w="108" w:type="dxa"/>
          </w:tblCellMar>
        </w:tblPrEx>
        <w:trPr>
          <w:jc w:val="center"/>
        </w:trPr>
        <w:tc>
          <w:tcPr>
            <w:tcW w:w="779" w:type="dxa"/>
            <w:tcBorders>
              <w:top w:val="nil"/>
              <w:left w:val="single" w:color="auto" w:sz="4" w:space="0"/>
              <w:bottom w:val="single" w:color="auto" w:sz="4" w:space="0"/>
              <w:right w:val="single" w:color="auto" w:sz="4" w:space="0"/>
            </w:tcBorders>
            <w:shd w:val="clear" w:color="auto" w:fill="auto"/>
            <w:noWrap/>
            <w:vAlign w:val="center"/>
          </w:tcPr>
          <w:p w14:paraId="05EA21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lang w:val="en-US" w:eastAsia="zh-CN"/>
              </w:rPr>
            </w:pPr>
            <w:r>
              <w:rPr>
                <w:rFonts w:hint="eastAsia" w:ascii="Times New Roman" w:hAnsi="Times New Roman" w:eastAsia="宋体"/>
                <w:sz w:val="24"/>
                <w:szCs w:val="21"/>
                <w:lang w:val="en-US" w:eastAsia="zh-CN"/>
              </w:rPr>
              <w:t>3</w:t>
            </w:r>
          </w:p>
        </w:tc>
        <w:tc>
          <w:tcPr>
            <w:tcW w:w="3855" w:type="dxa"/>
            <w:tcBorders>
              <w:top w:val="nil"/>
              <w:left w:val="nil"/>
              <w:bottom w:val="single" w:color="auto" w:sz="4" w:space="0"/>
              <w:right w:val="single" w:color="auto" w:sz="4" w:space="0"/>
            </w:tcBorders>
            <w:shd w:val="clear" w:color="auto" w:fill="auto"/>
            <w:noWrap/>
            <w:vAlign w:val="center"/>
          </w:tcPr>
          <w:p w14:paraId="2F50106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政务信息系统数据定时备份和异地容灾备份</w:t>
            </w:r>
          </w:p>
        </w:tc>
        <w:tc>
          <w:tcPr>
            <w:tcW w:w="1701" w:type="dxa"/>
            <w:tcBorders>
              <w:top w:val="nil"/>
              <w:left w:val="nil"/>
              <w:bottom w:val="single" w:color="auto" w:sz="4" w:space="0"/>
              <w:right w:val="single" w:color="auto" w:sz="4" w:space="0"/>
            </w:tcBorders>
            <w:shd w:val="clear" w:color="auto" w:fill="auto"/>
            <w:noWrap/>
            <w:vAlign w:val="center"/>
          </w:tcPr>
          <w:p w14:paraId="2388F4C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lang w:val="en-US" w:eastAsia="zh-CN"/>
              </w:rPr>
              <w:t>项</w:t>
            </w:r>
          </w:p>
        </w:tc>
        <w:tc>
          <w:tcPr>
            <w:tcW w:w="1701" w:type="dxa"/>
            <w:tcBorders>
              <w:top w:val="single" w:color="auto" w:sz="4" w:space="0"/>
              <w:left w:val="nil"/>
              <w:bottom w:val="single" w:color="auto" w:sz="4" w:space="0"/>
              <w:right w:val="single" w:color="auto" w:sz="4" w:space="0"/>
            </w:tcBorders>
            <w:noWrap/>
            <w:vAlign w:val="center"/>
          </w:tcPr>
          <w:p w14:paraId="011DFC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r>
      <w:tr w14:paraId="044A3531">
        <w:tblPrEx>
          <w:tblCellMar>
            <w:top w:w="0" w:type="dxa"/>
            <w:left w:w="108" w:type="dxa"/>
            <w:bottom w:w="0" w:type="dxa"/>
            <w:right w:w="108" w:type="dxa"/>
          </w:tblCellMar>
        </w:tblPrEx>
        <w:trPr>
          <w:jc w:val="center"/>
        </w:trPr>
        <w:tc>
          <w:tcPr>
            <w:tcW w:w="779" w:type="dxa"/>
            <w:tcBorders>
              <w:top w:val="nil"/>
              <w:left w:val="single" w:color="auto" w:sz="4" w:space="0"/>
              <w:bottom w:val="single" w:color="auto" w:sz="4" w:space="0"/>
              <w:right w:val="single" w:color="auto" w:sz="4" w:space="0"/>
            </w:tcBorders>
            <w:shd w:val="clear" w:color="auto" w:fill="auto"/>
            <w:noWrap/>
            <w:vAlign w:val="center"/>
          </w:tcPr>
          <w:p w14:paraId="5951C37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lang w:val="en-US" w:eastAsia="zh-CN"/>
              </w:rPr>
            </w:pPr>
            <w:r>
              <w:rPr>
                <w:rFonts w:hint="eastAsia" w:ascii="Times New Roman" w:hAnsi="Times New Roman" w:eastAsia="宋体"/>
                <w:sz w:val="24"/>
                <w:szCs w:val="21"/>
                <w:lang w:val="en-US" w:eastAsia="zh-CN"/>
              </w:rPr>
              <w:t>4</w:t>
            </w:r>
          </w:p>
        </w:tc>
        <w:tc>
          <w:tcPr>
            <w:tcW w:w="3855" w:type="dxa"/>
            <w:tcBorders>
              <w:top w:val="nil"/>
              <w:left w:val="nil"/>
              <w:bottom w:val="single" w:color="auto" w:sz="4" w:space="0"/>
              <w:right w:val="single" w:color="auto" w:sz="4" w:space="0"/>
            </w:tcBorders>
            <w:shd w:val="clear" w:color="auto" w:fill="auto"/>
            <w:noWrap/>
            <w:vAlign w:val="center"/>
          </w:tcPr>
          <w:p w14:paraId="7AB1769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电子政务外网乡镇覆盖服务</w:t>
            </w:r>
          </w:p>
        </w:tc>
        <w:tc>
          <w:tcPr>
            <w:tcW w:w="1701" w:type="dxa"/>
            <w:tcBorders>
              <w:top w:val="nil"/>
              <w:left w:val="nil"/>
              <w:bottom w:val="single" w:color="auto" w:sz="4" w:space="0"/>
              <w:right w:val="single" w:color="auto" w:sz="4" w:space="0"/>
            </w:tcBorders>
            <w:shd w:val="clear" w:color="auto" w:fill="auto"/>
            <w:noWrap/>
            <w:vAlign w:val="center"/>
          </w:tcPr>
          <w:p w14:paraId="29B6BB1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lang w:val="en-US" w:eastAsia="zh-CN"/>
              </w:rPr>
              <w:t>项</w:t>
            </w:r>
          </w:p>
        </w:tc>
        <w:tc>
          <w:tcPr>
            <w:tcW w:w="1701" w:type="dxa"/>
            <w:tcBorders>
              <w:top w:val="single" w:color="auto" w:sz="4" w:space="0"/>
              <w:left w:val="nil"/>
              <w:bottom w:val="single" w:color="auto" w:sz="4" w:space="0"/>
              <w:right w:val="single" w:color="auto" w:sz="4" w:space="0"/>
            </w:tcBorders>
            <w:noWrap/>
            <w:vAlign w:val="center"/>
          </w:tcPr>
          <w:p w14:paraId="475A6F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r>
      <w:tr w14:paraId="5E711DCC">
        <w:tblPrEx>
          <w:tblCellMar>
            <w:top w:w="0" w:type="dxa"/>
            <w:left w:w="108" w:type="dxa"/>
            <w:bottom w:w="0" w:type="dxa"/>
            <w:right w:w="108" w:type="dxa"/>
          </w:tblCellMar>
        </w:tblPrEx>
        <w:trPr>
          <w:jc w:val="center"/>
        </w:trPr>
        <w:tc>
          <w:tcPr>
            <w:tcW w:w="779" w:type="dxa"/>
            <w:tcBorders>
              <w:top w:val="nil"/>
              <w:left w:val="single" w:color="auto" w:sz="4" w:space="0"/>
              <w:bottom w:val="single" w:color="auto" w:sz="4" w:space="0"/>
              <w:right w:val="single" w:color="auto" w:sz="4" w:space="0"/>
            </w:tcBorders>
            <w:shd w:val="clear" w:color="auto" w:fill="auto"/>
            <w:noWrap/>
            <w:vAlign w:val="center"/>
          </w:tcPr>
          <w:p w14:paraId="481D5A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lang w:val="en-US" w:eastAsia="zh-CN"/>
              </w:rPr>
            </w:pPr>
            <w:r>
              <w:rPr>
                <w:rFonts w:hint="eastAsia" w:ascii="Times New Roman" w:hAnsi="Times New Roman" w:eastAsia="宋体"/>
                <w:sz w:val="24"/>
                <w:szCs w:val="21"/>
                <w:lang w:val="en-US" w:eastAsia="zh-CN"/>
              </w:rPr>
              <w:t>5</w:t>
            </w:r>
          </w:p>
        </w:tc>
        <w:tc>
          <w:tcPr>
            <w:tcW w:w="3855" w:type="dxa"/>
            <w:tcBorders>
              <w:top w:val="nil"/>
              <w:left w:val="nil"/>
              <w:bottom w:val="single" w:color="auto" w:sz="4" w:space="0"/>
              <w:right w:val="single" w:color="auto" w:sz="4" w:space="0"/>
            </w:tcBorders>
            <w:shd w:val="clear" w:color="auto" w:fill="auto"/>
            <w:noWrap/>
            <w:vAlign w:val="center"/>
          </w:tcPr>
          <w:p w14:paraId="2F34C0D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专网、专用系统机柜租赁服务</w:t>
            </w:r>
          </w:p>
        </w:tc>
        <w:tc>
          <w:tcPr>
            <w:tcW w:w="1701" w:type="dxa"/>
            <w:tcBorders>
              <w:top w:val="nil"/>
              <w:left w:val="nil"/>
              <w:bottom w:val="single" w:color="auto" w:sz="4" w:space="0"/>
              <w:right w:val="single" w:color="auto" w:sz="4" w:space="0"/>
            </w:tcBorders>
            <w:shd w:val="clear" w:color="auto" w:fill="auto"/>
            <w:noWrap/>
            <w:vAlign w:val="center"/>
          </w:tcPr>
          <w:p w14:paraId="16E670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lang w:val="en-US" w:eastAsia="zh-CN"/>
              </w:rPr>
              <w:t>项</w:t>
            </w:r>
          </w:p>
        </w:tc>
        <w:tc>
          <w:tcPr>
            <w:tcW w:w="1701" w:type="dxa"/>
            <w:tcBorders>
              <w:top w:val="single" w:color="auto" w:sz="4" w:space="0"/>
              <w:left w:val="nil"/>
              <w:bottom w:val="single" w:color="auto" w:sz="4" w:space="0"/>
              <w:right w:val="single" w:color="auto" w:sz="4" w:space="0"/>
            </w:tcBorders>
            <w:noWrap/>
            <w:vAlign w:val="center"/>
          </w:tcPr>
          <w:p w14:paraId="4C2940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r>
    </w:tbl>
    <w:p w14:paraId="67AB2F7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both"/>
        <w:textAlignment w:val="auto"/>
        <w:rPr>
          <w:rFonts w:hint="default" w:ascii="宋体" w:hAnsi="宋体" w:eastAsia="宋体" w:cs="宋体"/>
          <w:b/>
          <w:bCs/>
          <w:sz w:val="24"/>
          <w:szCs w:val="21"/>
          <w:lang w:val="en-US" w:eastAsia="zh-CN"/>
        </w:rPr>
      </w:pPr>
      <w:r>
        <w:rPr>
          <w:rFonts w:hint="eastAsia" w:ascii="宋体" w:hAnsi="宋体" w:eastAsia="宋体" w:cs="宋体"/>
          <w:b/>
          <w:bCs/>
          <w:sz w:val="24"/>
          <w:szCs w:val="21"/>
          <w:lang w:val="en-US" w:eastAsia="zh-CN"/>
        </w:rPr>
        <w:t>三、项目需求</w:t>
      </w:r>
    </w:p>
    <w:p w14:paraId="10E1F95D">
      <w:pPr>
        <w:keepNext w:val="0"/>
        <w:keepLines w:val="0"/>
        <w:pageBreakBefore w:val="0"/>
        <w:widowControl w:val="0"/>
        <w:numPr>
          <w:ilvl w:val="0"/>
          <w:numId w:val="8"/>
        </w:numPr>
        <w:kinsoku/>
        <w:wordWrap/>
        <w:overflowPunct/>
        <w:topLinePunct w:val="0"/>
        <w:autoSpaceDE/>
        <w:autoSpaceDN/>
        <w:bidi w:val="0"/>
        <w:adjustRightInd/>
        <w:snapToGrid/>
        <w:spacing w:line="480" w:lineRule="exact"/>
        <w:ind w:left="0" w:leftChars="0" w:firstLine="0" w:firstLineChars="0"/>
        <w:jc w:val="both"/>
        <w:textAlignment w:val="auto"/>
        <w:rPr>
          <w:rFonts w:hint="eastAsia" w:ascii="Times New Roman" w:hAnsi="Times New Roman" w:eastAsia="宋体"/>
          <w:b/>
          <w:bCs/>
          <w:sz w:val="24"/>
          <w:szCs w:val="21"/>
        </w:rPr>
      </w:pPr>
      <w:r>
        <w:rPr>
          <w:rFonts w:hint="eastAsia" w:ascii="Times New Roman" w:hAnsi="Times New Roman" w:eastAsia="宋体"/>
          <w:b/>
          <w:bCs/>
          <w:sz w:val="24"/>
          <w:szCs w:val="21"/>
        </w:rPr>
        <w:t>电子政务外网设备更新、维保及驻场运维服务</w:t>
      </w:r>
    </w:p>
    <w:p w14:paraId="6CD0C981">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b/>
          <w:bCs/>
          <w:sz w:val="24"/>
          <w:szCs w:val="21"/>
        </w:rPr>
      </w:pPr>
      <w:r>
        <w:rPr>
          <w:rFonts w:hint="eastAsia" w:ascii="Times New Roman" w:hAnsi="Times New Roman"/>
          <w:b/>
          <w:bCs/>
          <w:sz w:val="24"/>
          <w:szCs w:val="21"/>
          <w:lang w:val="en-US" w:eastAsia="zh-CN"/>
        </w:rPr>
        <w:t>1.1</w:t>
      </w:r>
      <w:r>
        <w:rPr>
          <w:rFonts w:hint="eastAsia" w:ascii="Times New Roman" w:hAnsi="Times New Roman" w:eastAsia="宋体"/>
          <w:b/>
          <w:bCs/>
          <w:sz w:val="24"/>
          <w:szCs w:val="21"/>
        </w:rPr>
        <w:t>设备更新</w:t>
      </w:r>
    </w:p>
    <w:p w14:paraId="4E6DC0B8">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对太仓电子政务外网安全设备进行升级改造，提高政务外网安全性，需要新增一台零信任安全网关，设备性能要求如下：</w:t>
      </w:r>
    </w:p>
    <w:tbl>
      <w:tblPr>
        <w:tblStyle w:val="26"/>
        <w:tblW w:w="4693"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 w:type="dxa"/>
          <w:bottom w:w="0" w:type="dxa"/>
          <w:right w:w="10" w:type="dxa"/>
        </w:tblCellMar>
      </w:tblPr>
      <w:tblGrid>
        <w:gridCol w:w="1167"/>
        <w:gridCol w:w="7632"/>
      </w:tblGrid>
      <w:tr w14:paraId="5BD642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cantSplit/>
          <w:trHeight w:val="499" w:hRule="atLeast"/>
        </w:trPr>
        <w:tc>
          <w:tcPr>
            <w:tcW w:w="663" w:type="pct"/>
            <w:tcBorders>
              <w:top w:val="single" w:color="auto" w:sz="2" w:space="0"/>
              <w:left w:val="single" w:color="auto" w:sz="2" w:space="0"/>
              <w:bottom w:val="single" w:color="auto" w:sz="2" w:space="0"/>
              <w:right w:val="single" w:color="auto" w:sz="2" w:space="0"/>
            </w:tcBorders>
            <w:vAlign w:val="center"/>
          </w:tcPr>
          <w:p w14:paraId="05B4BF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指标</w:t>
            </w:r>
          </w:p>
        </w:tc>
        <w:tc>
          <w:tcPr>
            <w:tcW w:w="4337" w:type="pct"/>
            <w:tcBorders>
              <w:top w:val="single" w:color="auto" w:sz="2" w:space="0"/>
              <w:left w:val="single" w:color="auto" w:sz="2" w:space="0"/>
              <w:bottom w:val="single" w:color="auto" w:sz="2" w:space="0"/>
              <w:right w:val="single" w:color="auto" w:sz="2" w:space="0"/>
            </w:tcBorders>
            <w:vAlign w:val="center"/>
          </w:tcPr>
          <w:p w14:paraId="69D83D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具体要求</w:t>
            </w:r>
          </w:p>
        </w:tc>
      </w:tr>
      <w:tr w14:paraId="31CF43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 w:type="dxa"/>
            <w:bottom w:w="0" w:type="dxa"/>
            <w:right w:w="10" w:type="dxa"/>
          </w:tblCellMar>
        </w:tblPrEx>
        <w:trPr>
          <w:cantSplit/>
          <w:trHeight w:val="499" w:hRule="atLeast"/>
        </w:trPr>
        <w:tc>
          <w:tcPr>
            <w:tcW w:w="663" w:type="pct"/>
            <w:tcBorders>
              <w:top w:val="single" w:color="auto" w:sz="2" w:space="0"/>
              <w:left w:val="single" w:color="auto" w:sz="2" w:space="0"/>
              <w:bottom w:val="single" w:color="auto" w:sz="2" w:space="0"/>
              <w:right w:val="single" w:color="auto" w:sz="2" w:space="0"/>
            </w:tcBorders>
            <w:vAlign w:val="center"/>
          </w:tcPr>
          <w:p w14:paraId="0E028DB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硬件规格</w:t>
            </w:r>
          </w:p>
        </w:tc>
        <w:tc>
          <w:tcPr>
            <w:tcW w:w="4337" w:type="pct"/>
            <w:tcBorders>
              <w:top w:val="single" w:color="auto" w:sz="2" w:space="0"/>
              <w:left w:val="single" w:color="auto" w:sz="2" w:space="0"/>
              <w:bottom w:val="single" w:color="auto" w:sz="2" w:space="0"/>
              <w:right w:val="single" w:color="auto" w:sz="2" w:space="0"/>
            </w:tcBorders>
          </w:tcPr>
          <w:p w14:paraId="3AB2002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冗余电源，设备配置≥12个10/100/1000M Base-TX；设备配置≥4个SFP千兆光口，设备配置4T硬盘，明文整机吞吐≥2.5Gbps，国密加密吞吐量≥200Mbps，配置 PC端并发接入授权≥400个。</w:t>
            </w:r>
          </w:p>
        </w:tc>
      </w:tr>
    </w:tbl>
    <w:p w14:paraId="59631AA2">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b/>
          <w:sz w:val="24"/>
          <w:szCs w:val="21"/>
        </w:rPr>
      </w:pPr>
      <w:r>
        <w:rPr>
          <w:rFonts w:hint="eastAsia" w:ascii="Times New Roman" w:hAnsi="Times New Roman"/>
          <w:b/>
          <w:sz w:val="24"/>
          <w:szCs w:val="21"/>
          <w:lang w:val="en-US" w:eastAsia="zh-CN"/>
        </w:rPr>
        <w:t>1.</w:t>
      </w:r>
      <w:r>
        <w:rPr>
          <w:rFonts w:hint="eastAsia" w:ascii="Times New Roman" w:hAnsi="Times New Roman" w:eastAsia="宋体"/>
          <w:b/>
          <w:sz w:val="24"/>
          <w:szCs w:val="21"/>
        </w:rPr>
        <w:t>2电子政务外网设备维保</w:t>
      </w:r>
    </w:p>
    <w:p w14:paraId="06815919">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太仓市电子政务外网设备于2009年底交付使用，涵括了市电子政务平台系统及各机关单位的业务系统，这些业务系统的正常运转都需要提供稳定、可靠、高效的网络系统。目前所有网络设备已经过保，需要购买第三方维保服务，具体清单如下：</w:t>
      </w:r>
    </w:p>
    <w:p w14:paraId="2E315A98">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b/>
          <w:bCs/>
          <w:sz w:val="24"/>
          <w:szCs w:val="21"/>
        </w:rPr>
      </w:pPr>
      <w:r>
        <w:rPr>
          <w:rFonts w:hint="eastAsia" w:ascii="Times New Roman" w:hAnsi="Times New Roman"/>
          <w:b/>
          <w:bCs/>
          <w:sz w:val="24"/>
          <w:szCs w:val="21"/>
          <w:lang w:val="en-US" w:eastAsia="zh-CN"/>
        </w:rPr>
        <w:t>1.2.1</w:t>
      </w:r>
      <w:r>
        <w:rPr>
          <w:rFonts w:hint="eastAsia" w:ascii="Times New Roman" w:hAnsi="Times New Roman" w:eastAsia="宋体"/>
          <w:b/>
          <w:bCs/>
          <w:sz w:val="24"/>
          <w:szCs w:val="21"/>
        </w:rPr>
        <w:t>设备维保</w:t>
      </w:r>
    </w:p>
    <w:tbl>
      <w:tblPr>
        <w:tblStyle w:val="26"/>
        <w:tblW w:w="7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701"/>
        <w:gridCol w:w="2835"/>
        <w:gridCol w:w="1275"/>
        <w:gridCol w:w="850"/>
      </w:tblGrid>
      <w:tr w14:paraId="0D01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363F25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序号</w:t>
            </w:r>
          </w:p>
        </w:tc>
        <w:tc>
          <w:tcPr>
            <w:tcW w:w="1701" w:type="dxa"/>
            <w:tcBorders>
              <w:top w:val="single" w:color="auto" w:sz="4" w:space="0"/>
              <w:left w:val="single" w:color="auto" w:sz="4" w:space="0"/>
              <w:bottom w:val="single" w:color="auto" w:sz="4" w:space="0"/>
              <w:right w:val="single" w:color="auto" w:sz="4" w:space="0"/>
            </w:tcBorders>
            <w:vAlign w:val="center"/>
          </w:tcPr>
          <w:p w14:paraId="4C7E43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设备名称</w:t>
            </w:r>
          </w:p>
        </w:tc>
        <w:tc>
          <w:tcPr>
            <w:tcW w:w="2835" w:type="dxa"/>
            <w:tcBorders>
              <w:top w:val="single" w:color="auto" w:sz="4" w:space="0"/>
              <w:left w:val="single" w:color="auto" w:sz="4" w:space="0"/>
              <w:bottom w:val="single" w:color="auto" w:sz="4" w:space="0"/>
              <w:right w:val="single" w:color="auto" w:sz="4" w:space="0"/>
            </w:tcBorders>
            <w:noWrap/>
            <w:vAlign w:val="center"/>
          </w:tcPr>
          <w:p w14:paraId="5EF929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设备型号</w:t>
            </w:r>
          </w:p>
        </w:tc>
        <w:tc>
          <w:tcPr>
            <w:tcW w:w="1275" w:type="dxa"/>
            <w:tcBorders>
              <w:top w:val="single" w:color="auto" w:sz="4" w:space="0"/>
              <w:left w:val="single" w:color="auto" w:sz="4" w:space="0"/>
              <w:bottom w:val="single" w:color="auto" w:sz="4" w:space="0"/>
              <w:right w:val="single" w:color="auto" w:sz="4" w:space="0"/>
            </w:tcBorders>
            <w:noWrap/>
            <w:vAlign w:val="center"/>
          </w:tcPr>
          <w:p w14:paraId="37A2AE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单位</w:t>
            </w:r>
          </w:p>
        </w:tc>
        <w:tc>
          <w:tcPr>
            <w:tcW w:w="850" w:type="dxa"/>
            <w:tcBorders>
              <w:top w:val="single" w:color="auto" w:sz="4" w:space="0"/>
              <w:left w:val="single" w:color="auto" w:sz="4" w:space="0"/>
              <w:bottom w:val="single" w:color="auto" w:sz="4" w:space="0"/>
              <w:right w:val="single" w:color="auto" w:sz="4" w:space="0"/>
            </w:tcBorders>
            <w:vAlign w:val="center"/>
          </w:tcPr>
          <w:p w14:paraId="72F734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数量</w:t>
            </w:r>
          </w:p>
        </w:tc>
      </w:tr>
      <w:tr w14:paraId="0472D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37E830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c>
          <w:tcPr>
            <w:tcW w:w="1701" w:type="dxa"/>
            <w:tcBorders>
              <w:top w:val="single" w:color="auto" w:sz="4" w:space="0"/>
              <w:left w:val="single" w:color="auto" w:sz="4" w:space="0"/>
              <w:bottom w:val="single" w:color="auto" w:sz="4" w:space="0"/>
              <w:right w:val="single" w:color="auto" w:sz="4" w:space="0"/>
            </w:tcBorders>
            <w:vAlign w:val="center"/>
          </w:tcPr>
          <w:p w14:paraId="104DE86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核心交换机</w:t>
            </w:r>
          </w:p>
        </w:tc>
        <w:tc>
          <w:tcPr>
            <w:tcW w:w="2835" w:type="dxa"/>
            <w:tcBorders>
              <w:top w:val="single" w:color="auto" w:sz="4" w:space="0"/>
              <w:left w:val="single" w:color="auto" w:sz="4" w:space="0"/>
              <w:bottom w:val="single" w:color="auto" w:sz="4" w:space="0"/>
              <w:right w:val="single" w:color="auto" w:sz="4" w:space="0"/>
            </w:tcBorders>
            <w:noWrap/>
            <w:vAlign w:val="center"/>
          </w:tcPr>
          <w:p w14:paraId="63FAF55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S12518</w:t>
            </w:r>
          </w:p>
        </w:tc>
        <w:tc>
          <w:tcPr>
            <w:tcW w:w="1275" w:type="dxa"/>
            <w:tcBorders>
              <w:top w:val="single" w:color="auto" w:sz="4" w:space="0"/>
              <w:left w:val="single" w:color="auto" w:sz="4" w:space="0"/>
              <w:bottom w:val="single" w:color="auto" w:sz="4" w:space="0"/>
              <w:right w:val="single" w:color="auto" w:sz="4" w:space="0"/>
            </w:tcBorders>
            <w:noWrap/>
            <w:vAlign w:val="center"/>
          </w:tcPr>
          <w:p w14:paraId="11B063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52A826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r>
      <w:tr w14:paraId="64BA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28DF06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2</w:t>
            </w:r>
          </w:p>
        </w:tc>
        <w:tc>
          <w:tcPr>
            <w:tcW w:w="1701" w:type="dxa"/>
            <w:tcBorders>
              <w:top w:val="single" w:color="auto" w:sz="4" w:space="0"/>
              <w:left w:val="single" w:color="auto" w:sz="4" w:space="0"/>
              <w:bottom w:val="single" w:color="auto" w:sz="4" w:space="0"/>
              <w:right w:val="single" w:color="auto" w:sz="4" w:space="0"/>
            </w:tcBorders>
            <w:vAlign w:val="center"/>
          </w:tcPr>
          <w:p w14:paraId="1AFC2C9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核心交换机</w:t>
            </w:r>
          </w:p>
        </w:tc>
        <w:tc>
          <w:tcPr>
            <w:tcW w:w="2835" w:type="dxa"/>
            <w:tcBorders>
              <w:top w:val="single" w:color="auto" w:sz="4" w:space="0"/>
              <w:left w:val="single" w:color="auto" w:sz="4" w:space="0"/>
              <w:bottom w:val="single" w:color="auto" w:sz="4" w:space="0"/>
              <w:right w:val="single" w:color="auto" w:sz="4" w:space="0"/>
            </w:tcBorders>
            <w:noWrap/>
            <w:vAlign w:val="center"/>
          </w:tcPr>
          <w:p w14:paraId="3B33311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S10504</w:t>
            </w:r>
          </w:p>
        </w:tc>
        <w:tc>
          <w:tcPr>
            <w:tcW w:w="1275" w:type="dxa"/>
            <w:tcBorders>
              <w:top w:val="single" w:color="auto" w:sz="4" w:space="0"/>
              <w:left w:val="single" w:color="auto" w:sz="4" w:space="0"/>
              <w:bottom w:val="single" w:color="auto" w:sz="4" w:space="0"/>
              <w:right w:val="single" w:color="auto" w:sz="4" w:space="0"/>
            </w:tcBorders>
            <w:noWrap/>
            <w:vAlign w:val="center"/>
          </w:tcPr>
          <w:p w14:paraId="712D58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334C193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2</w:t>
            </w:r>
          </w:p>
        </w:tc>
      </w:tr>
      <w:tr w14:paraId="6DE8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307669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3</w:t>
            </w:r>
          </w:p>
        </w:tc>
        <w:tc>
          <w:tcPr>
            <w:tcW w:w="1701" w:type="dxa"/>
            <w:tcBorders>
              <w:top w:val="single" w:color="auto" w:sz="4" w:space="0"/>
              <w:left w:val="single" w:color="auto" w:sz="4" w:space="0"/>
              <w:bottom w:val="single" w:color="auto" w:sz="4" w:space="0"/>
              <w:right w:val="single" w:color="auto" w:sz="4" w:space="0"/>
            </w:tcBorders>
            <w:vAlign w:val="center"/>
          </w:tcPr>
          <w:p w14:paraId="0952775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汇聚交换机</w:t>
            </w:r>
          </w:p>
        </w:tc>
        <w:tc>
          <w:tcPr>
            <w:tcW w:w="2835" w:type="dxa"/>
            <w:tcBorders>
              <w:top w:val="single" w:color="auto" w:sz="4" w:space="0"/>
              <w:left w:val="single" w:color="auto" w:sz="4" w:space="0"/>
              <w:bottom w:val="single" w:color="auto" w:sz="4" w:space="0"/>
              <w:right w:val="single" w:color="auto" w:sz="4" w:space="0"/>
            </w:tcBorders>
            <w:noWrap/>
            <w:vAlign w:val="center"/>
          </w:tcPr>
          <w:p w14:paraId="438C503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S7503E</w:t>
            </w:r>
          </w:p>
        </w:tc>
        <w:tc>
          <w:tcPr>
            <w:tcW w:w="1275" w:type="dxa"/>
            <w:tcBorders>
              <w:top w:val="single" w:color="auto" w:sz="4" w:space="0"/>
              <w:left w:val="single" w:color="auto" w:sz="4" w:space="0"/>
              <w:bottom w:val="single" w:color="auto" w:sz="4" w:space="0"/>
              <w:right w:val="single" w:color="auto" w:sz="4" w:space="0"/>
            </w:tcBorders>
            <w:noWrap/>
            <w:vAlign w:val="center"/>
          </w:tcPr>
          <w:p w14:paraId="0F0B2B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6C88E9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4</w:t>
            </w:r>
          </w:p>
        </w:tc>
      </w:tr>
      <w:tr w14:paraId="4CD8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4BD4FC8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4</w:t>
            </w:r>
          </w:p>
        </w:tc>
        <w:tc>
          <w:tcPr>
            <w:tcW w:w="1701" w:type="dxa"/>
            <w:tcBorders>
              <w:top w:val="single" w:color="auto" w:sz="4" w:space="0"/>
              <w:left w:val="single" w:color="auto" w:sz="4" w:space="0"/>
              <w:bottom w:val="single" w:color="auto" w:sz="4" w:space="0"/>
              <w:right w:val="single" w:color="auto" w:sz="4" w:space="0"/>
            </w:tcBorders>
            <w:vAlign w:val="center"/>
          </w:tcPr>
          <w:p w14:paraId="1BABE05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汇聚交换机</w:t>
            </w:r>
          </w:p>
        </w:tc>
        <w:tc>
          <w:tcPr>
            <w:tcW w:w="2835" w:type="dxa"/>
            <w:tcBorders>
              <w:top w:val="single" w:color="auto" w:sz="4" w:space="0"/>
              <w:left w:val="single" w:color="auto" w:sz="4" w:space="0"/>
              <w:bottom w:val="single" w:color="auto" w:sz="4" w:space="0"/>
              <w:right w:val="single" w:color="auto" w:sz="4" w:space="0"/>
            </w:tcBorders>
            <w:noWrap/>
            <w:vAlign w:val="center"/>
          </w:tcPr>
          <w:p w14:paraId="38407E1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S7506E</w:t>
            </w:r>
          </w:p>
        </w:tc>
        <w:tc>
          <w:tcPr>
            <w:tcW w:w="1275" w:type="dxa"/>
            <w:tcBorders>
              <w:top w:val="single" w:color="auto" w:sz="4" w:space="0"/>
              <w:left w:val="single" w:color="auto" w:sz="4" w:space="0"/>
              <w:bottom w:val="single" w:color="auto" w:sz="4" w:space="0"/>
              <w:right w:val="single" w:color="auto" w:sz="4" w:space="0"/>
            </w:tcBorders>
            <w:noWrap/>
            <w:vAlign w:val="center"/>
          </w:tcPr>
          <w:p w14:paraId="056EEF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722EC3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w:t>
            </w:r>
          </w:p>
        </w:tc>
      </w:tr>
      <w:tr w14:paraId="6F612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1C464A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5</w:t>
            </w:r>
          </w:p>
        </w:tc>
        <w:tc>
          <w:tcPr>
            <w:tcW w:w="1701" w:type="dxa"/>
            <w:tcBorders>
              <w:top w:val="single" w:color="auto" w:sz="4" w:space="0"/>
              <w:left w:val="single" w:color="auto" w:sz="4" w:space="0"/>
              <w:bottom w:val="single" w:color="auto" w:sz="4" w:space="0"/>
              <w:right w:val="single" w:color="auto" w:sz="4" w:space="0"/>
            </w:tcBorders>
            <w:vAlign w:val="center"/>
          </w:tcPr>
          <w:p w14:paraId="5FBA04F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汇聚交换机</w:t>
            </w:r>
          </w:p>
        </w:tc>
        <w:tc>
          <w:tcPr>
            <w:tcW w:w="2835" w:type="dxa"/>
            <w:tcBorders>
              <w:top w:val="single" w:color="auto" w:sz="4" w:space="0"/>
              <w:left w:val="single" w:color="auto" w:sz="4" w:space="0"/>
              <w:bottom w:val="single" w:color="auto" w:sz="4" w:space="0"/>
              <w:right w:val="single" w:color="auto" w:sz="4" w:space="0"/>
            </w:tcBorders>
            <w:noWrap/>
            <w:vAlign w:val="center"/>
          </w:tcPr>
          <w:p w14:paraId="17C1641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S5500-28F-EI</w:t>
            </w:r>
          </w:p>
        </w:tc>
        <w:tc>
          <w:tcPr>
            <w:tcW w:w="1275" w:type="dxa"/>
            <w:tcBorders>
              <w:top w:val="single" w:color="auto" w:sz="4" w:space="0"/>
              <w:left w:val="single" w:color="auto" w:sz="4" w:space="0"/>
              <w:bottom w:val="single" w:color="auto" w:sz="4" w:space="0"/>
              <w:right w:val="single" w:color="auto" w:sz="4" w:space="0"/>
            </w:tcBorders>
            <w:noWrap/>
            <w:vAlign w:val="center"/>
          </w:tcPr>
          <w:p w14:paraId="436B73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23BE12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3</w:t>
            </w:r>
          </w:p>
        </w:tc>
      </w:tr>
      <w:tr w14:paraId="4776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766165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6</w:t>
            </w:r>
          </w:p>
        </w:tc>
        <w:tc>
          <w:tcPr>
            <w:tcW w:w="1701" w:type="dxa"/>
            <w:tcBorders>
              <w:top w:val="single" w:color="auto" w:sz="4" w:space="0"/>
              <w:left w:val="single" w:color="auto" w:sz="4" w:space="0"/>
              <w:bottom w:val="single" w:color="auto" w:sz="4" w:space="0"/>
              <w:right w:val="single" w:color="auto" w:sz="4" w:space="0"/>
            </w:tcBorders>
            <w:vAlign w:val="center"/>
          </w:tcPr>
          <w:p w14:paraId="31BBF82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接入交换机</w:t>
            </w:r>
          </w:p>
        </w:tc>
        <w:tc>
          <w:tcPr>
            <w:tcW w:w="2835" w:type="dxa"/>
            <w:tcBorders>
              <w:top w:val="single" w:color="auto" w:sz="4" w:space="0"/>
              <w:left w:val="single" w:color="auto" w:sz="4" w:space="0"/>
              <w:bottom w:val="single" w:color="auto" w:sz="4" w:space="0"/>
              <w:right w:val="single" w:color="auto" w:sz="4" w:space="0"/>
            </w:tcBorders>
            <w:noWrap/>
            <w:vAlign w:val="center"/>
          </w:tcPr>
          <w:p w14:paraId="65E96F9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S5500-52C-EI</w:t>
            </w:r>
          </w:p>
        </w:tc>
        <w:tc>
          <w:tcPr>
            <w:tcW w:w="1275" w:type="dxa"/>
            <w:tcBorders>
              <w:top w:val="single" w:color="auto" w:sz="4" w:space="0"/>
              <w:left w:val="single" w:color="auto" w:sz="4" w:space="0"/>
              <w:bottom w:val="single" w:color="auto" w:sz="4" w:space="0"/>
              <w:right w:val="single" w:color="auto" w:sz="4" w:space="0"/>
            </w:tcBorders>
            <w:noWrap/>
            <w:vAlign w:val="center"/>
          </w:tcPr>
          <w:p w14:paraId="7BEB92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22BE63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2</w:t>
            </w:r>
          </w:p>
        </w:tc>
      </w:tr>
      <w:tr w14:paraId="170D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6DF946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7</w:t>
            </w:r>
          </w:p>
        </w:tc>
        <w:tc>
          <w:tcPr>
            <w:tcW w:w="1701" w:type="dxa"/>
            <w:tcBorders>
              <w:top w:val="single" w:color="auto" w:sz="4" w:space="0"/>
              <w:left w:val="single" w:color="auto" w:sz="4" w:space="0"/>
              <w:bottom w:val="single" w:color="auto" w:sz="4" w:space="0"/>
              <w:right w:val="single" w:color="auto" w:sz="4" w:space="0"/>
            </w:tcBorders>
            <w:vAlign w:val="center"/>
          </w:tcPr>
          <w:p w14:paraId="036FA1B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接入交换机</w:t>
            </w:r>
          </w:p>
        </w:tc>
        <w:tc>
          <w:tcPr>
            <w:tcW w:w="2835" w:type="dxa"/>
            <w:tcBorders>
              <w:top w:val="single" w:color="auto" w:sz="4" w:space="0"/>
              <w:left w:val="single" w:color="auto" w:sz="4" w:space="0"/>
              <w:bottom w:val="single" w:color="auto" w:sz="4" w:space="0"/>
              <w:right w:val="single" w:color="auto" w:sz="4" w:space="0"/>
            </w:tcBorders>
            <w:noWrap/>
            <w:vAlign w:val="center"/>
          </w:tcPr>
          <w:p w14:paraId="00751AA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S3600-52TP-EI</w:t>
            </w:r>
          </w:p>
        </w:tc>
        <w:tc>
          <w:tcPr>
            <w:tcW w:w="1275" w:type="dxa"/>
            <w:tcBorders>
              <w:top w:val="single" w:color="auto" w:sz="4" w:space="0"/>
              <w:left w:val="single" w:color="auto" w:sz="4" w:space="0"/>
              <w:bottom w:val="single" w:color="auto" w:sz="4" w:space="0"/>
              <w:right w:val="single" w:color="auto" w:sz="4" w:space="0"/>
            </w:tcBorders>
            <w:noWrap/>
            <w:vAlign w:val="center"/>
          </w:tcPr>
          <w:p w14:paraId="34B76F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2884C1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127</w:t>
            </w:r>
          </w:p>
        </w:tc>
      </w:tr>
      <w:tr w14:paraId="2507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6C37F29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8</w:t>
            </w:r>
          </w:p>
        </w:tc>
        <w:tc>
          <w:tcPr>
            <w:tcW w:w="1701" w:type="dxa"/>
            <w:tcBorders>
              <w:top w:val="single" w:color="auto" w:sz="4" w:space="0"/>
              <w:left w:val="single" w:color="auto" w:sz="4" w:space="0"/>
              <w:bottom w:val="single" w:color="auto" w:sz="4" w:space="0"/>
              <w:right w:val="single" w:color="auto" w:sz="4" w:space="0"/>
            </w:tcBorders>
            <w:vAlign w:val="center"/>
          </w:tcPr>
          <w:p w14:paraId="0ABE2AB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光纤模块</w:t>
            </w:r>
          </w:p>
        </w:tc>
        <w:tc>
          <w:tcPr>
            <w:tcW w:w="2835" w:type="dxa"/>
            <w:tcBorders>
              <w:top w:val="single" w:color="auto" w:sz="4" w:space="0"/>
              <w:left w:val="single" w:color="auto" w:sz="4" w:space="0"/>
              <w:bottom w:val="single" w:color="auto" w:sz="4" w:space="0"/>
              <w:right w:val="single" w:color="auto" w:sz="4" w:space="0"/>
            </w:tcBorders>
            <w:noWrap/>
            <w:vAlign w:val="center"/>
          </w:tcPr>
          <w:p w14:paraId="2FC0BF4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H3CSFP-GE-LX-SM1310-D</w:t>
            </w:r>
          </w:p>
        </w:tc>
        <w:tc>
          <w:tcPr>
            <w:tcW w:w="1275" w:type="dxa"/>
            <w:tcBorders>
              <w:top w:val="single" w:color="auto" w:sz="4" w:space="0"/>
              <w:left w:val="single" w:color="auto" w:sz="4" w:space="0"/>
              <w:bottom w:val="single" w:color="auto" w:sz="4" w:space="0"/>
              <w:right w:val="single" w:color="auto" w:sz="4" w:space="0"/>
            </w:tcBorders>
            <w:noWrap/>
            <w:vAlign w:val="center"/>
          </w:tcPr>
          <w:p w14:paraId="501921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块</w:t>
            </w:r>
          </w:p>
        </w:tc>
        <w:tc>
          <w:tcPr>
            <w:tcW w:w="850" w:type="dxa"/>
            <w:tcBorders>
              <w:top w:val="single" w:color="auto" w:sz="4" w:space="0"/>
              <w:left w:val="single" w:color="auto" w:sz="4" w:space="0"/>
              <w:bottom w:val="single" w:color="auto" w:sz="4" w:space="0"/>
              <w:right w:val="single" w:color="auto" w:sz="4" w:space="0"/>
            </w:tcBorders>
            <w:vAlign w:val="center"/>
          </w:tcPr>
          <w:p w14:paraId="1B6428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310</w:t>
            </w:r>
          </w:p>
        </w:tc>
      </w:tr>
      <w:tr w14:paraId="505D3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430006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9</w:t>
            </w:r>
          </w:p>
        </w:tc>
        <w:tc>
          <w:tcPr>
            <w:tcW w:w="1701" w:type="dxa"/>
            <w:tcBorders>
              <w:top w:val="single" w:color="auto" w:sz="4" w:space="0"/>
              <w:left w:val="single" w:color="auto" w:sz="4" w:space="0"/>
              <w:bottom w:val="single" w:color="auto" w:sz="4" w:space="0"/>
              <w:right w:val="single" w:color="auto" w:sz="4" w:space="0"/>
            </w:tcBorders>
            <w:vAlign w:val="center"/>
          </w:tcPr>
          <w:p w14:paraId="3ABBE84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光纤模块</w:t>
            </w:r>
          </w:p>
        </w:tc>
        <w:tc>
          <w:tcPr>
            <w:tcW w:w="2835" w:type="dxa"/>
            <w:tcBorders>
              <w:top w:val="single" w:color="auto" w:sz="4" w:space="0"/>
              <w:left w:val="single" w:color="auto" w:sz="4" w:space="0"/>
              <w:bottom w:val="single" w:color="auto" w:sz="4" w:space="0"/>
              <w:right w:val="single" w:color="auto" w:sz="4" w:space="0"/>
            </w:tcBorders>
            <w:noWrap/>
            <w:vAlign w:val="center"/>
          </w:tcPr>
          <w:p w14:paraId="18CF7CF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H3C SFP-XG-LX-SM1310-E</w:t>
            </w:r>
          </w:p>
        </w:tc>
        <w:tc>
          <w:tcPr>
            <w:tcW w:w="1275" w:type="dxa"/>
            <w:tcBorders>
              <w:top w:val="single" w:color="auto" w:sz="4" w:space="0"/>
              <w:left w:val="single" w:color="auto" w:sz="4" w:space="0"/>
              <w:bottom w:val="single" w:color="auto" w:sz="4" w:space="0"/>
              <w:right w:val="single" w:color="auto" w:sz="4" w:space="0"/>
            </w:tcBorders>
            <w:noWrap/>
            <w:vAlign w:val="center"/>
          </w:tcPr>
          <w:p w14:paraId="071113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块</w:t>
            </w:r>
          </w:p>
        </w:tc>
        <w:tc>
          <w:tcPr>
            <w:tcW w:w="850" w:type="dxa"/>
            <w:tcBorders>
              <w:top w:val="single" w:color="auto" w:sz="4" w:space="0"/>
              <w:left w:val="single" w:color="auto" w:sz="4" w:space="0"/>
              <w:bottom w:val="single" w:color="auto" w:sz="4" w:space="0"/>
              <w:right w:val="single" w:color="auto" w:sz="4" w:space="0"/>
            </w:tcBorders>
            <w:vAlign w:val="center"/>
          </w:tcPr>
          <w:p w14:paraId="25227A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10</w:t>
            </w:r>
          </w:p>
        </w:tc>
      </w:tr>
      <w:tr w14:paraId="0D5F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846" w:type="dxa"/>
            <w:tcBorders>
              <w:top w:val="single" w:color="auto" w:sz="4" w:space="0"/>
              <w:left w:val="single" w:color="auto" w:sz="4" w:space="0"/>
              <w:bottom w:val="single" w:color="auto" w:sz="4" w:space="0"/>
              <w:right w:val="single" w:color="auto" w:sz="4" w:space="0"/>
            </w:tcBorders>
            <w:noWrap/>
            <w:vAlign w:val="center"/>
          </w:tcPr>
          <w:p w14:paraId="4C7BDD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10</w:t>
            </w:r>
          </w:p>
        </w:tc>
        <w:tc>
          <w:tcPr>
            <w:tcW w:w="1701" w:type="dxa"/>
            <w:tcBorders>
              <w:top w:val="single" w:color="auto" w:sz="4" w:space="0"/>
              <w:left w:val="single" w:color="auto" w:sz="4" w:space="0"/>
              <w:bottom w:val="single" w:color="auto" w:sz="4" w:space="0"/>
              <w:right w:val="single" w:color="auto" w:sz="4" w:space="0"/>
            </w:tcBorders>
            <w:vAlign w:val="center"/>
          </w:tcPr>
          <w:p w14:paraId="4C88D5C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UPS</w:t>
            </w:r>
          </w:p>
        </w:tc>
        <w:tc>
          <w:tcPr>
            <w:tcW w:w="2835" w:type="dxa"/>
            <w:tcBorders>
              <w:top w:val="single" w:color="auto" w:sz="4" w:space="0"/>
              <w:left w:val="single" w:color="auto" w:sz="4" w:space="0"/>
              <w:bottom w:val="single" w:color="auto" w:sz="4" w:space="0"/>
              <w:right w:val="single" w:color="auto" w:sz="4" w:space="0"/>
            </w:tcBorders>
            <w:noWrap/>
            <w:vAlign w:val="center"/>
          </w:tcPr>
          <w:p w14:paraId="1233E70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科士达 EP 120</w:t>
            </w:r>
          </w:p>
        </w:tc>
        <w:tc>
          <w:tcPr>
            <w:tcW w:w="1275" w:type="dxa"/>
            <w:tcBorders>
              <w:top w:val="single" w:color="auto" w:sz="4" w:space="0"/>
              <w:left w:val="single" w:color="auto" w:sz="4" w:space="0"/>
              <w:bottom w:val="single" w:color="auto" w:sz="4" w:space="0"/>
              <w:right w:val="single" w:color="auto" w:sz="4" w:space="0"/>
            </w:tcBorders>
            <w:noWrap/>
            <w:vAlign w:val="center"/>
          </w:tcPr>
          <w:p w14:paraId="6DCBED7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台</w:t>
            </w:r>
          </w:p>
        </w:tc>
        <w:tc>
          <w:tcPr>
            <w:tcW w:w="850" w:type="dxa"/>
            <w:tcBorders>
              <w:top w:val="single" w:color="auto" w:sz="4" w:space="0"/>
              <w:left w:val="single" w:color="auto" w:sz="4" w:space="0"/>
              <w:bottom w:val="single" w:color="auto" w:sz="4" w:space="0"/>
              <w:right w:val="single" w:color="auto" w:sz="4" w:space="0"/>
            </w:tcBorders>
            <w:vAlign w:val="center"/>
          </w:tcPr>
          <w:p w14:paraId="380090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2</w:t>
            </w:r>
          </w:p>
        </w:tc>
      </w:tr>
    </w:tbl>
    <w:p w14:paraId="4D9ACE84">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b/>
          <w:bCs/>
          <w:sz w:val="24"/>
          <w:szCs w:val="21"/>
        </w:rPr>
      </w:pPr>
      <w:r>
        <w:rPr>
          <w:rFonts w:hint="eastAsia" w:ascii="Times New Roman" w:hAnsi="Times New Roman"/>
          <w:b/>
          <w:bCs/>
          <w:sz w:val="24"/>
          <w:szCs w:val="21"/>
          <w:lang w:val="en-US" w:eastAsia="zh-CN"/>
        </w:rPr>
        <w:t>1.2.2</w:t>
      </w:r>
      <w:r>
        <w:rPr>
          <w:rFonts w:hint="eastAsia" w:ascii="Times New Roman" w:hAnsi="Times New Roman" w:eastAsia="宋体"/>
          <w:b/>
          <w:bCs/>
          <w:sz w:val="24"/>
          <w:szCs w:val="21"/>
        </w:rPr>
        <w:t>综合布线维保</w:t>
      </w:r>
    </w:p>
    <w:p w14:paraId="306D3396">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行政中心大楼综合布线系统维护，包括大楼内与各楼宇间光缆、网线、面板、跳线的维修、更换。</w:t>
      </w:r>
    </w:p>
    <w:p w14:paraId="3E29D677">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b/>
          <w:bCs/>
          <w:sz w:val="24"/>
          <w:szCs w:val="21"/>
        </w:rPr>
      </w:pPr>
      <w:r>
        <w:rPr>
          <w:rFonts w:hint="eastAsia" w:ascii="Times New Roman" w:hAnsi="Times New Roman"/>
          <w:b/>
          <w:bCs/>
          <w:sz w:val="24"/>
          <w:szCs w:val="21"/>
          <w:lang w:val="en-US" w:eastAsia="zh-CN"/>
        </w:rPr>
        <w:t>1.</w:t>
      </w:r>
      <w:r>
        <w:rPr>
          <w:rFonts w:hint="eastAsia" w:ascii="Times New Roman" w:hAnsi="Times New Roman" w:eastAsia="宋体"/>
          <w:b/>
          <w:bCs/>
          <w:sz w:val="24"/>
          <w:szCs w:val="21"/>
        </w:rPr>
        <w:t>3电子政务网驻场运维服务</w:t>
      </w:r>
    </w:p>
    <w:p w14:paraId="2EEDD536">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b/>
          <w:bCs/>
          <w:sz w:val="24"/>
          <w:szCs w:val="21"/>
        </w:rPr>
      </w:pPr>
      <w:r>
        <w:rPr>
          <w:rFonts w:hint="eastAsia" w:ascii="Times New Roman" w:hAnsi="Times New Roman"/>
          <w:b/>
          <w:bCs/>
          <w:sz w:val="24"/>
          <w:szCs w:val="21"/>
          <w:lang w:val="en-US" w:eastAsia="zh-CN"/>
        </w:rPr>
        <w:t>1.</w:t>
      </w:r>
      <w:r>
        <w:rPr>
          <w:rFonts w:hint="eastAsia" w:ascii="Times New Roman" w:hAnsi="Times New Roman" w:eastAsia="宋体"/>
          <w:b/>
          <w:bCs/>
          <w:sz w:val="24"/>
          <w:szCs w:val="21"/>
        </w:rPr>
        <w:t>3.1运维服务内容</w:t>
      </w:r>
    </w:p>
    <w:p w14:paraId="5F155AFA">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eastAsia="宋体"/>
          <w:bCs/>
          <w:sz w:val="24"/>
          <w:szCs w:val="21"/>
        </w:rPr>
        <w:t>（1）政务网络运维日常服务：提供包括但不限于处理网络设备的故障维护、故障检测及排除，处理各类网络系统使用问题，联系并配合设备厂商或集成商解决设备故障；对各网络设备按要求进行调试和维护，保证各网络自身的连通性、稳定性、安全性和可扩展性。</w:t>
      </w:r>
    </w:p>
    <w:p w14:paraId="150F3A7D">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eastAsia="宋体"/>
          <w:bCs/>
          <w:sz w:val="24"/>
          <w:szCs w:val="21"/>
        </w:rPr>
        <w:t>（2）网络系统监测服务：通过巡检和监控平台的监控报警，发现数据中心网络故障设备，对中心网络的运行状态进行监控，在网络出现中断及异常（如延时、丢包率高），或设备CPU、内存、带宽等运行发生异常时预警。</w:t>
      </w:r>
    </w:p>
    <w:p w14:paraId="1B2F4685">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eastAsia="宋体"/>
          <w:bCs/>
          <w:sz w:val="24"/>
          <w:szCs w:val="21"/>
        </w:rPr>
        <w:t>（3）网络巡检服务：对数据中心机房进行网络巡检。巡检范围包括但不限于：网络核心设备、网络设备等。巡检服务时对设备的运行数据进行记录，形成报表进行统计分析，便于进行网络系统的分析和故障的提前预知。具体报告的数据包括但不限于：配置数据、性能数据、故障数据。</w:t>
      </w:r>
    </w:p>
    <w:p w14:paraId="2A69D536">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eastAsia="宋体"/>
          <w:bCs/>
          <w:sz w:val="24"/>
          <w:szCs w:val="21"/>
        </w:rPr>
        <w:t>（4）网络加固服务：网络加固的目的在于进一步按照信息策略对关键性资产进行基线的配置实现。具体加固工作的内容包括但不限于以下几个方面：管理加固、网络加固、策略加固、设备加固等。</w:t>
      </w:r>
    </w:p>
    <w:p w14:paraId="77F3B9EC">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eastAsia="宋体"/>
          <w:bCs/>
          <w:sz w:val="24"/>
          <w:szCs w:val="21"/>
        </w:rPr>
        <w:t>（5）网络应急支撑服务：当政务网络出现故障时，提供应急响应小组，当出现突发紧急事件时，启动应急预案，提供应急服务，按照应急预案及时处理突发事件。</w:t>
      </w:r>
    </w:p>
    <w:p w14:paraId="208E67BE">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eastAsia="宋体"/>
          <w:bCs/>
          <w:sz w:val="24"/>
          <w:szCs w:val="21"/>
        </w:rPr>
        <w:t>（6）政务网准入审核服务：各委办局应用系统和服务器接入政务网准入审核，网络设置，合规检查，Web服务器发布设置。</w:t>
      </w:r>
    </w:p>
    <w:p w14:paraId="25975AD6">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在重要节日、重大活动前要对设备的健康情况进行巡检，在重大活动或其他需要重点保障的时间内根据要求安排人员在现场进行保障。</w:t>
      </w:r>
    </w:p>
    <w:p w14:paraId="7F66D5B3">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bCs/>
          <w:sz w:val="24"/>
          <w:szCs w:val="21"/>
        </w:rPr>
        <w:t>（7）</w:t>
      </w:r>
      <w:r>
        <w:rPr>
          <w:rFonts w:hint="eastAsia" w:ascii="Times New Roman" w:hAnsi="Times New Roman" w:eastAsia="宋体"/>
          <w:sz w:val="24"/>
          <w:szCs w:val="21"/>
        </w:rPr>
        <w:t>整个维保项目须指定专人或专门小组负责应对用户的技术咨询和服务，实现7*24小时电话技术支持咨询服务，确保用户方能及时找到维保项目的指定专人或小组。</w:t>
      </w:r>
    </w:p>
    <w:p w14:paraId="3A6C5735">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bCs/>
          <w:sz w:val="24"/>
          <w:szCs w:val="21"/>
        </w:rPr>
        <w:t>（8）</w:t>
      </w:r>
      <w:r>
        <w:rPr>
          <w:rFonts w:hint="eastAsia" w:ascii="Times New Roman" w:hAnsi="Times New Roman" w:eastAsia="宋体"/>
          <w:sz w:val="24"/>
          <w:szCs w:val="21"/>
        </w:rPr>
        <w:t>行政中心大楼综合布线系统维护，包括大楼内与各楼宇间光缆、网线、面板、跳线的维修、更换。</w:t>
      </w:r>
    </w:p>
    <w:p w14:paraId="7B4186D7">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bCs/>
          <w:sz w:val="24"/>
          <w:szCs w:val="21"/>
        </w:rPr>
        <w:t>（9）</w:t>
      </w:r>
      <w:r>
        <w:rPr>
          <w:rFonts w:hint="eastAsia" w:ascii="Times New Roman" w:hAnsi="Times New Roman" w:eastAsia="宋体"/>
          <w:sz w:val="24"/>
          <w:szCs w:val="21"/>
        </w:rPr>
        <w:t>电子政务城域网的优化、调整。根据要求对核心交换机、路由器进行配置。</w:t>
      </w:r>
    </w:p>
    <w:p w14:paraId="4FD3163B">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bCs/>
          <w:sz w:val="24"/>
          <w:szCs w:val="21"/>
        </w:rPr>
        <w:t>（10）</w:t>
      </w:r>
      <w:r>
        <w:rPr>
          <w:rFonts w:hint="eastAsia" w:ascii="Times New Roman" w:hAnsi="Times New Roman" w:eastAsia="宋体"/>
          <w:sz w:val="24"/>
          <w:szCs w:val="21"/>
        </w:rPr>
        <w:t>解决因设备故障、网络攻击等各类因素导致的行政中心网络故障及因网络原因导致的终端系统故障。</w:t>
      </w:r>
    </w:p>
    <w:p w14:paraId="6C1F77FF">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bCs/>
          <w:sz w:val="24"/>
          <w:szCs w:val="21"/>
        </w:rPr>
        <w:t>（11）</w:t>
      </w:r>
      <w:r>
        <w:rPr>
          <w:rFonts w:hint="eastAsia" w:ascii="Times New Roman" w:hAnsi="Times New Roman" w:eastAsia="宋体"/>
          <w:sz w:val="24"/>
          <w:szCs w:val="21"/>
        </w:rPr>
        <w:t>参与制定应急与快速恢复方案，协助方案的实施，并参与方案的测试。</w:t>
      </w:r>
    </w:p>
    <w:p w14:paraId="2E0E78A1">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bCs/>
          <w:sz w:val="24"/>
          <w:szCs w:val="21"/>
        </w:rPr>
        <w:t>（12）</w:t>
      </w:r>
      <w:r>
        <w:rPr>
          <w:rFonts w:hint="eastAsia" w:ascii="Times New Roman" w:hAnsi="Times New Roman" w:eastAsia="宋体"/>
          <w:sz w:val="24"/>
          <w:szCs w:val="21"/>
        </w:rPr>
        <w:t>服务响应时间：设备发生故障时，投标人要即时响应，15分钟内赶到故障现场进行维护服务，故障解决时间如下：</w:t>
      </w:r>
    </w:p>
    <w:p w14:paraId="5632AB7F">
      <w:pPr>
        <w:keepNext w:val="0"/>
        <w:keepLines w:val="0"/>
        <w:pageBreakBefore w:val="0"/>
        <w:widowControl w:val="0"/>
        <w:kinsoku/>
        <w:wordWrap/>
        <w:overflowPunct/>
        <w:topLinePunct w:val="0"/>
        <w:autoSpaceDE/>
        <w:autoSpaceDN/>
        <w:bidi w:val="0"/>
        <w:adjustRightInd/>
        <w:snapToGrid/>
        <w:spacing w:after="313" w:afterLines="100"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服务等级协议</w:t>
      </w:r>
    </w:p>
    <w:tbl>
      <w:tblPr>
        <w:tblStyle w:val="26"/>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2"/>
        <w:gridCol w:w="1841"/>
        <w:gridCol w:w="1897"/>
      </w:tblGrid>
      <w:tr w14:paraId="4073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5" w:type="dxa"/>
            <w:tcBorders>
              <w:top w:val="single" w:color="auto" w:sz="4" w:space="0"/>
              <w:left w:val="single" w:color="auto" w:sz="4" w:space="0"/>
              <w:bottom w:val="single" w:color="auto" w:sz="4" w:space="0"/>
              <w:right w:val="single" w:color="auto" w:sz="4" w:space="0"/>
            </w:tcBorders>
            <w:noWrap/>
            <w:vAlign w:val="center"/>
          </w:tcPr>
          <w:p w14:paraId="605F61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故障级别</w:t>
            </w:r>
          </w:p>
        </w:tc>
        <w:tc>
          <w:tcPr>
            <w:tcW w:w="1843" w:type="dxa"/>
            <w:tcBorders>
              <w:top w:val="single" w:color="auto" w:sz="4" w:space="0"/>
              <w:left w:val="single" w:color="auto" w:sz="4" w:space="0"/>
              <w:bottom w:val="single" w:color="auto" w:sz="4" w:space="0"/>
              <w:right w:val="single" w:color="auto" w:sz="4" w:space="0"/>
            </w:tcBorders>
            <w:noWrap/>
            <w:vAlign w:val="center"/>
          </w:tcPr>
          <w:p w14:paraId="10A9A8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响应时间</w:t>
            </w:r>
          </w:p>
        </w:tc>
        <w:tc>
          <w:tcPr>
            <w:tcW w:w="1899" w:type="dxa"/>
            <w:tcBorders>
              <w:top w:val="single" w:color="auto" w:sz="4" w:space="0"/>
              <w:left w:val="single" w:color="auto" w:sz="4" w:space="0"/>
              <w:bottom w:val="single" w:color="auto" w:sz="4" w:space="0"/>
              <w:right w:val="single" w:color="auto" w:sz="4" w:space="0"/>
            </w:tcBorders>
            <w:noWrap/>
            <w:vAlign w:val="center"/>
          </w:tcPr>
          <w:p w14:paraId="7AEF1B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故障解决时间</w:t>
            </w:r>
          </w:p>
        </w:tc>
      </w:tr>
      <w:tr w14:paraId="2FB6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5" w:type="dxa"/>
            <w:tcBorders>
              <w:top w:val="single" w:color="auto" w:sz="4" w:space="0"/>
              <w:left w:val="single" w:color="auto" w:sz="4" w:space="0"/>
              <w:bottom w:val="single" w:color="auto" w:sz="4" w:space="0"/>
              <w:right w:val="single" w:color="auto" w:sz="4" w:space="0"/>
            </w:tcBorders>
            <w:noWrap/>
            <w:vAlign w:val="center"/>
          </w:tcPr>
          <w:p w14:paraId="768640F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I级：属于紧急问题；其具体现象 为：系统崩溃导致业务停止、数据丢失。</w:t>
            </w:r>
          </w:p>
        </w:tc>
        <w:tc>
          <w:tcPr>
            <w:tcW w:w="1843" w:type="dxa"/>
            <w:tcBorders>
              <w:top w:val="single" w:color="auto" w:sz="4" w:space="0"/>
              <w:left w:val="single" w:color="auto" w:sz="4" w:space="0"/>
              <w:bottom w:val="single" w:color="auto" w:sz="4" w:space="0"/>
              <w:right w:val="single" w:color="auto" w:sz="4" w:space="0"/>
            </w:tcBorders>
            <w:noWrap/>
            <w:vAlign w:val="center"/>
          </w:tcPr>
          <w:p w14:paraId="595692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即时</w:t>
            </w:r>
          </w:p>
        </w:tc>
        <w:tc>
          <w:tcPr>
            <w:tcW w:w="1899" w:type="dxa"/>
            <w:tcBorders>
              <w:top w:val="single" w:color="auto" w:sz="4" w:space="0"/>
              <w:left w:val="single" w:color="auto" w:sz="4" w:space="0"/>
              <w:bottom w:val="single" w:color="auto" w:sz="4" w:space="0"/>
              <w:right w:val="single" w:color="auto" w:sz="4" w:space="0"/>
            </w:tcBorders>
            <w:noWrap/>
            <w:vAlign w:val="center"/>
          </w:tcPr>
          <w:p w14:paraId="552820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30分钟以内</w:t>
            </w:r>
          </w:p>
        </w:tc>
      </w:tr>
      <w:tr w14:paraId="6B89C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5" w:type="dxa"/>
            <w:tcBorders>
              <w:top w:val="single" w:color="auto" w:sz="4" w:space="0"/>
              <w:left w:val="single" w:color="auto" w:sz="4" w:space="0"/>
              <w:bottom w:val="single" w:color="auto" w:sz="4" w:space="0"/>
              <w:right w:val="single" w:color="auto" w:sz="4" w:space="0"/>
            </w:tcBorders>
            <w:noWrap/>
            <w:vAlign w:val="center"/>
          </w:tcPr>
          <w:p w14:paraId="2A5CB03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II级：属于严重问题；其具体现象为：出现部分部件失效、系统性能下降但能正常运行，不影响正常业务运作</w:t>
            </w:r>
          </w:p>
        </w:tc>
        <w:tc>
          <w:tcPr>
            <w:tcW w:w="1843" w:type="dxa"/>
            <w:tcBorders>
              <w:top w:val="single" w:color="auto" w:sz="4" w:space="0"/>
              <w:left w:val="single" w:color="auto" w:sz="4" w:space="0"/>
              <w:bottom w:val="single" w:color="auto" w:sz="4" w:space="0"/>
              <w:right w:val="single" w:color="auto" w:sz="4" w:space="0"/>
            </w:tcBorders>
            <w:noWrap/>
            <w:vAlign w:val="center"/>
          </w:tcPr>
          <w:p w14:paraId="605D32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即时</w:t>
            </w:r>
          </w:p>
        </w:tc>
        <w:tc>
          <w:tcPr>
            <w:tcW w:w="1899" w:type="dxa"/>
            <w:tcBorders>
              <w:top w:val="single" w:color="auto" w:sz="4" w:space="0"/>
              <w:left w:val="single" w:color="auto" w:sz="4" w:space="0"/>
              <w:bottom w:val="single" w:color="auto" w:sz="4" w:space="0"/>
              <w:right w:val="single" w:color="auto" w:sz="4" w:space="0"/>
            </w:tcBorders>
            <w:noWrap/>
            <w:vAlign w:val="center"/>
          </w:tcPr>
          <w:p w14:paraId="14F80DA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1小时以内</w:t>
            </w:r>
          </w:p>
        </w:tc>
      </w:tr>
      <w:tr w14:paraId="4F09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65" w:type="dxa"/>
            <w:tcBorders>
              <w:top w:val="single" w:color="auto" w:sz="4" w:space="0"/>
              <w:left w:val="single" w:color="auto" w:sz="4" w:space="0"/>
              <w:bottom w:val="single" w:color="auto" w:sz="4" w:space="0"/>
              <w:right w:val="single" w:color="auto" w:sz="4" w:space="0"/>
            </w:tcBorders>
            <w:noWrap/>
            <w:vAlign w:val="center"/>
          </w:tcPr>
          <w:p w14:paraId="6ABB13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imes New Roman" w:hAnsi="Times New Roman" w:eastAsia="宋体"/>
                <w:sz w:val="24"/>
                <w:szCs w:val="21"/>
              </w:rPr>
            </w:pPr>
            <w:r>
              <w:rPr>
                <w:rFonts w:hint="eastAsia" w:ascii="Times New Roman" w:hAnsi="Times New Roman" w:eastAsia="宋体"/>
                <w:sz w:val="24"/>
                <w:szCs w:val="21"/>
              </w:rPr>
              <w:t>III级：属于较严重问题；其具体 现象为：出现系统报错或警告，但系统能继续运行且性能不受影响。</w:t>
            </w:r>
          </w:p>
        </w:tc>
        <w:tc>
          <w:tcPr>
            <w:tcW w:w="1843" w:type="dxa"/>
            <w:tcBorders>
              <w:top w:val="single" w:color="auto" w:sz="4" w:space="0"/>
              <w:left w:val="single" w:color="auto" w:sz="4" w:space="0"/>
              <w:bottom w:val="single" w:color="auto" w:sz="4" w:space="0"/>
              <w:right w:val="single" w:color="auto" w:sz="4" w:space="0"/>
            </w:tcBorders>
            <w:noWrap/>
            <w:vAlign w:val="center"/>
          </w:tcPr>
          <w:p w14:paraId="060946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即时</w:t>
            </w:r>
          </w:p>
        </w:tc>
        <w:tc>
          <w:tcPr>
            <w:tcW w:w="1899" w:type="dxa"/>
            <w:tcBorders>
              <w:top w:val="single" w:color="auto" w:sz="4" w:space="0"/>
              <w:left w:val="single" w:color="auto" w:sz="4" w:space="0"/>
              <w:bottom w:val="single" w:color="auto" w:sz="4" w:space="0"/>
              <w:right w:val="single" w:color="auto" w:sz="4" w:space="0"/>
            </w:tcBorders>
            <w:noWrap/>
            <w:vAlign w:val="center"/>
          </w:tcPr>
          <w:p w14:paraId="040155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sz w:val="24"/>
                <w:szCs w:val="21"/>
              </w:rPr>
            </w:pPr>
            <w:r>
              <w:rPr>
                <w:rFonts w:hint="eastAsia" w:ascii="Times New Roman" w:hAnsi="Times New Roman" w:eastAsia="宋体"/>
                <w:sz w:val="24"/>
                <w:szCs w:val="21"/>
              </w:rPr>
              <w:t>2小时以内</w:t>
            </w:r>
          </w:p>
        </w:tc>
      </w:tr>
    </w:tbl>
    <w:p w14:paraId="2ED1382F">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b/>
          <w:bCs/>
          <w:sz w:val="24"/>
          <w:szCs w:val="21"/>
        </w:rPr>
      </w:pPr>
      <w:r>
        <w:rPr>
          <w:rFonts w:hint="eastAsia" w:ascii="Times New Roman" w:hAnsi="Times New Roman"/>
          <w:b/>
          <w:bCs/>
          <w:sz w:val="24"/>
          <w:szCs w:val="21"/>
          <w:lang w:val="en-US" w:eastAsia="zh-CN"/>
        </w:rPr>
        <w:t>1.</w:t>
      </w:r>
      <w:r>
        <w:rPr>
          <w:rFonts w:hint="eastAsia" w:ascii="Times New Roman" w:hAnsi="Times New Roman" w:eastAsia="宋体"/>
          <w:b/>
          <w:bCs/>
          <w:sz w:val="24"/>
          <w:szCs w:val="21"/>
        </w:rPr>
        <w:t>3.2服务人员要求</w:t>
      </w:r>
    </w:p>
    <w:p w14:paraId="1049D01F">
      <w:pPr>
        <w:keepNext w:val="0"/>
        <w:keepLines w:val="0"/>
        <w:pageBreakBefore w:val="0"/>
        <w:tabs>
          <w:tab w:val="left" w:pos="284"/>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ascii="Times New Roman" w:hAnsi="Times New Roman" w:eastAsia="宋体"/>
          <w:bCs/>
          <w:sz w:val="24"/>
          <w:szCs w:val="21"/>
        </w:rPr>
        <w:t>1.运维经理（1人）：具有网络相关资质和类似项目经验，具备相关行业工作经验，负责日常管理、工作安排，相关文档材料审核和归档，向采购人汇报工作，各项资源调配，投诉管理工作。</w:t>
      </w:r>
    </w:p>
    <w:p w14:paraId="2290FBDA">
      <w:pPr>
        <w:keepNext w:val="0"/>
        <w:keepLines w:val="0"/>
        <w:pageBreakBefore w:val="0"/>
        <w:tabs>
          <w:tab w:val="left" w:pos="284"/>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ascii="Times New Roman" w:hAnsi="Times New Roman" w:eastAsia="宋体"/>
          <w:bCs/>
          <w:sz w:val="24"/>
          <w:szCs w:val="21"/>
        </w:rPr>
        <w:t>2.</w:t>
      </w:r>
      <w:r>
        <w:rPr>
          <w:rFonts w:hint="eastAsia" w:ascii="Times New Roman" w:hAnsi="Times New Roman" w:eastAsia="宋体"/>
          <w:bCs/>
          <w:sz w:val="24"/>
          <w:szCs w:val="21"/>
        </w:rPr>
        <w:t>驻场人员（不少于2人）</w:t>
      </w:r>
      <w:r>
        <w:rPr>
          <w:rFonts w:ascii="Times New Roman" w:hAnsi="Times New Roman" w:eastAsia="宋体"/>
          <w:bCs/>
          <w:sz w:val="24"/>
          <w:szCs w:val="21"/>
        </w:rPr>
        <w:t>：负责项目的具体运维工作，需具有网络相关资质和类似项目经验。包括但不限于网络日常运维、网络故障排查与处理、网络巡检、应急响应支援等工作，专业能够涵盖网络。应急响应支援工作要求在应急事件发生后1小时内进行网络事件处理、支援。</w:t>
      </w:r>
    </w:p>
    <w:p w14:paraId="2B1FDADE">
      <w:pPr>
        <w:pStyle w:val="25"/>
        <w:keepNext w:val="0"/>
        <w:keepLines w:val="0"/>
        <w:pageBreakBefore w:val="0"/>
        <w:kinsoku/>
        <w:wordWrap/>
        <w:overflowPunct/>
        <w:topLinePunct w:val="0"/>
        <w:autoSpaceDE/>
        <w:autoSpaceDN/>
        <w:bidi w:val="0"/>
        <w:spacing w:after="0" w:line="480" w:lineRule="exact"/>
        <w:ind w:left="0" w:leftChars="0"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3.对本项目的驻场服务人员工作内容、职责及服务流程、管理规范建立运营机制。</w:t>
      </w:r>
    </w:p>
    <w:p w14:paraId="62826FE2">
      <w:pPr>
        <w:keepNext w:val="0"/>
        <w:keepLines w:val="0"/>
        <w:pageBreakBefore w:val="0"/>
        <w:widowControl w:val="0"/>
        <w:numPr>
          <w:ilvl w:val="0"/>
          <w:numId w:val="8"/>
        </w:numPr>
        <w:kinsoku/>
        <w:wordWrap/>
        <w:overflowPunct/>
        <w:topLinePunct w:val="0"/>
        <w:autoSpaceDE/>
        <w:autoSpaceDN/>
        <w:bidi w:val="0"/>
        <w:adjustRightInd/>
        <w:snapToGrid/>
        <w:spacing w:line="480" w:lineRule="exact"/>
        <w:ind w:left="0" w:leftChars="0" w:firstLine="0" w:firstLineChars="0"/>
        <w:jc w:val="both"/>
        <w:textAlignment w:val="auto"/>
        <w:rPr>
          <w:rFonts w:hint="eastAsia" w:ascii="Times New Roman" w:hAnsi="Times New Roman" w:eastAsia="宋体"/>
          <w:b/>
          <w:bCs/>
          <w:sz w:val="24"/>
          <w:szCs w:val="21"/>
        </w:rPr>
      </w:pPr>
      <w:r>
        <w:rPr>
          <w:rFonts w:hint="eastAsia" w:ascii="Times New Roman" w:hAnsi="Times New Roman" w:eastAsia="宋体"/>
          <w:b/>
          <w:bCs/>
          <w:sz w:val="24"/>
          <w:szCs w:val="21"/>
        </w:rPr>
        <w:t>电子政务外网和政务信息系统安全防护</w:t>
      </w:r>
    </w:p>
    <w:p w14:paraId="26FE65B1">
      <w:pPr>
        <w:keepNext w:val="0"/>
        <w:keepLines w:val="0"/>
        <w:pageBreakBefore w:val="0"/>
        <w:tabs>
          <w:tab w:val="left" w:pos="420"/>
        </w:tabs>
        <w:kinsoku/>
        <w:wordWrap/>
        <w:overflowPunct/>
        <w:topLinePunct w:val="0"/>
        <w:autoSpaceDE/>
        <w:autoSpaceDN/>
        <w:bidi w:val="0"/>
        <w:spacing w:line="480" w:lineRule="exact"/>
        <w:jc w:val="both"/>
        <w:textAlignment w:val="auto"/>
        <w:rPr>
          <w:rFonts w:hint="eastAsia" w:ascii="Times New Roman" w:hAnsi="Times New Roman" w:eastAsia="宋体"/>
          <w:b/>
          <w:sz w:val="24"/>
          <w:szCs w:val="21"/>
        </w:rPr>
      </w:pPr>
      <w:r>
        <w:rPr>
          <w:rFonts w:hint="eastAsia" w:ascii="Times New Roman" w:hAnsi="Times New Roman"/>
          <w:b/>
          <w:sz w:val="24"/>
          <w:szCs w:val="21"/>
          <w:lang w:val="en-US" w:eastAsia="zh-CN"/>
        </w:rPr>
        <w:t>2.</w:t>
      </w:r>
      <w:r>
        <w:rPr>
          <w:rFonts w:hint="eastAsia" w:ascii="Times New Roman" w:hAnsi="Times New Roman" w:eastAsia="宋体"/>
          <w:b/>
          <w:sz w:val="24"/>
          <w:szCs w:val="21"/>
        </w:rPr>
        <w:t>1安全运维服务</w:t>
      </w:r>
    </w:p>
    <w:p w14:paraId="7349136C">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由于对政府重要信息系统的高可用性要求，提供安全运维服务，包括以下内容：安全设备巡检、病毒安全监测、扫描安全漏洞、对发现的漏洞进行加固咨询，并检测。</w:t>
      </w:r>
    </w:p>
    <w:p w14:paraId="58C08BAD">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（1）安全设备巡检</w:t>
      </w:r>
    </w:p>
    <w:p w14:paraId="41639BC1">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需每天检查网络安全设备的硬件状况及系统运行状况、安全设备升级情况检查、查看安全产品的日志、报表等信息。</w:t>
      </w:r>
    </w:p>
    <w:p w14:paraId="53D540F0">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（2）病毒安全检测</w:t>
      </w:r>
    </w:p>
    <w:p w14:paraId="385B94F7">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每周进行病毒状况记录与处理，对异常病毒感染情况予以汇报，以防止出现病毒大范围感染的情况。病毒感染状况分析：每月对政务信息系统内的实际病毒感染状况进行分析，对病毒感范围，病毒感染率，病毒感染类别以及病毒感染趋势进行统计与计算，为数据局提供较为直观的安全评估依据。此外，在病毒感染状况分析中如发现高风险的病毒感染迹象，将立即对感染终端进行安全响应，以防止其可能的大规模传染，从而规避高影响安全事件的发生。</w:t>
      </w:r>
    </w:p>
    <w:p w14:paraId="2ABD9767">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（3）安全漏洞扫描</w:t>
      </w:r>
    </w:p>
    <w:p w14:paraId="1DE21AD3">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每月对政务信息系统中的网络安全设备、操作系统、数据库系统的安全漏洞进行扫描，发现存在的安全漏洞和隐患进行修复。</w:t>
      </w:r>
    </w:p>
    <w:p w14:paraId="5AC875FA">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（4）安全加固咨询</w:t>
      </w:r>
    </w:p>
    <w:p w14:paraId="2C57014F">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通过提供政务信息系统安全加固建议，使政务信息系统进一步按照信息安全策略对关键性资产进行安全基线的配置实现，切实提升信息系统的整体安全防护能力。</w:t>
      </w:r>
    </w:p>
    <w:p w14:paraId="767E500C">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（5）交付文档</w:t>
      </w:r>
    </w:p>
    <w:p w14:paraId="1D17236D">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每周对网络核心设备、网络安全设备、服务器系统、虚拟化系统、核心应用系统的安全运行状态进行巡检，查看各项运行指标是否正常，并出具《安全巡检报告》。</w:t>
      </w:r>
    </w:p>
    <w:p w14:paraId="4C67C14E">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每周对防病毒系统的安装、病毒库更新、病毒扫描查杀情况进行检查，发现病毒及时进行处置。每月对病毒感染状况进行分析，并出具《病毒检测报告》。</w:t>
      </w:r>
    </w:p>
    <w:p w14:paraId="10D66858">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每月对网络安全设备、服务器、信息系统进行漏洞扫描，对安全漏洞进行分类和处置，出具《漏洞扫描报告》。对现有平台设备和新上线设备的安全配置进行加固，满足网络安全需求，</w:t>
      </w:r>
      <w:r>
        <w:rPr>
          <w:rFonts w:ascii="Times New Roman" w:hAnsi="Times New Roman" w:eastAsia="宋体"/>
          <w:sz w:val="24"/>
          <w:szCs w:val="21"/>
        </w:rPr>
        <w:t xml:space="preserve"> </w:t>
      </w:r>
    </w:p>
    <w:p w14:paraId="5AF66A50">
      <w:pPr>
        <w:keepNext w:val="0"/>
        <w:keepLines w:val="0"/>
        <w:pageBreakBefore w:val="0"/>
        <w:tabs>
          <w:tab w:val="left" w:pos="420"/>
        </w:tabs>
        <w:kinsoku/>
        <w:wordWrap/>
        <w:overflowPunct/>
        <w:topLinePunct w:val="0"/>
        <w:autoSpaceDE/>
        <w:autoSpaceDN/>
        <w:bidi w:val="0"/>
        <w:spacing w:line="480" w:lineRule="exact"/>
        <w:jc w:val="both"/>
        <w:textAlignment w:val="auto"/>
        <w:rPr>
          <w:rFonts w:hint="eastAsia" w:ascii="Times New Roman" w:hAnsi="Times New Roman" w:eastAsia="宋体"/>
          <w:b/>
          <w:sz w:val="24"/>
          <w:szCs w:val="21"/>
        </w:rPr>
      </w:pPr>
      <w:r>
        <w:rPr>
          <w:rFonts w:hint="eastAsia" w:ascii="Times New Roman" w:hAnsi="Times New Roman" w:eastAsia="宋体"/>
          <w:b/>
          <w:sz w:val="24"/>
          <w:szCs w:val="21"/>
        </w:rPr>
        <w:t>2.</w:t>
      </w:r>
      <w:r>
        <w:rPr>
          <w:rFonts w:hint="eastAsia" w:ascii="Times New Roman" w:hAnsi="Times New Roman"/>
          <w:b/>
          <w:sz w:val="24"/>
          <w:szCs w:val="21"/>
          <w:lang w:val="en-US" w:eastAsia="zh-CN"/>
        </w:rPr>
        <w:t>2</w:t>
      </w:r>
      <w:r>
        <w:rPr>
          <w:rFonts w:hint="eastAsia" w:ascii="Times New Roman" w:hAnsi="Times New Roman" w:eastAsia="宋体"/>
          <w:b/>
          <w:sz w:val="24"/>
          <w:szCs w:val="21"/>
        </w:rPr>
        <w:t>审计监控服务</w:t>
      </w:r>
    </w:p>
    <w:p w14:paraId="68947B4E">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对政务信息系统中重要系统提供审计监控服务，包括以下内容：设备监控、数据库监控、策略监控、病毒监控、日志监控、漏洞渗透与加固。</w:t>
      </w:r>
    </w:p>
    <w:p w14:paraId="47974061">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（1）设备监控</w:t>
      </w:r>
    </w:p>
    <w:p w14:paraId="18A80423">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定时对重要服务器、应用系统、网络设备、安全设备等信息资产进行安全检查及时发现各类系统存在的安全漏洞，提供安全漏洞的详细描述和修复方案。</w:t>
      </w:r>
    </w:p>
    <w:p w14:paraId="22416DB3">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（2）数据库监控</w:t>
      </w:r>
    </w:p>
    <w:p w14:paraId="6A3F4D33">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定时进行数据库审计监控和评审，杜绝非授权和不合理使用。</w:t>
      </w:r>
    </w:p>
    <w:p w14:paraId="39038E4E">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（3）策略监控</w:t>
      </w:r>
    </w:p>
    <w:p w14:paraId="1B2A616D">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每日进行安全设备策略检查和报警日志审计，及时发现安全隐患。覆盖重要系统，如系统服务、系统账户和权限、策略、防火墙、防病毒系统、操作系统补丁、用户密码安全、应用安全、磁盘权限等。</w:t>
      </w:r>
    </w:p>
    <w:p w14:paraId="78BE6EBF">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（4）病毒监控</w:t>
      </w:r>
    </w:p>
    <w:p w14:paraId="357A446A">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实时监控防病毒系统产生的病毒事件，及时进行病毒预警和病毒扩散范围分析。</w:t>
      </w:r>
    </w:p>
    <w:p w14:paraId="35C60FDA">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（5）日志监控</w:t>
      </w:r>
    </w:p>
    <w:p w14:paraId="1C39DE10">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每周对各类系统产生的安全日志实现全面、有效的集中收集、管理和审计服务。</w:t>
      </w:r>
    </w:p>
    <w:p w14:paraId="581E1884">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（6）漏洞渗透</w:t>
      </w:r>
    </w:p>
    <w:p w14:paraId="367E7206">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定期获取系统的脆弱性信息，包括主机扫描、网络扫描、数据库扫描等，用于分析系统、应用、网络设备存在的常见漏洞，并对这些漏洞信息进行综合分析，提供详细的情况报告和处理方法。并通过分析各类安全设备产生的安全事件或日志信息，获取网络中存在的各类病毒、蠕虫、非法访问、攻击事件，并进行及时的处理。</w:t>
      </w:r>
    </w:p>
    <w:p w14:paraId="4E4BF6ED">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sz w:val="24"/>
          <w:szCs w:val="21"/>
          <w:lang w:eastAsia="zh-CN"/>
        </w:rPr>
        <w:t>（</w:t>
      </w:r>
      <w:r>
        <w:rPr>
          <w:rFonts w:hint="eastAsia" w:ascii="Times New Roman" w:hAnsi="Times New Roman" w:eastAsia="宋体"/>
          <w:sz w:val="24"/>
          <w:szCs w:val="21"/>
        </w:rPr>
        <w:t>7）交付文档</w:t>
      </w:r>
    </w:p>
    <w:p w14:paraId="12A6F630">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实时监控防病毒系统产生的病毒事件，及时进行病毒预警和病毒扩散范围分析。每月针对政务信息系统进行漏洞扫描，形成《漏洞扫描报告》。</w:t>
      </w:r>
    </w:p>
    <w:p w14:paraId="68AA36BE">
      <w:pPr>
        <w:keepNext w:val="0"/>
        <w:keepLines w:val="0"/>
        <w:pageBreakBefore w:val="0"/>
        <w:tabs>
          <w:tab w:val="left" w:pos="420"/>
        </w:tabs>
        <w:kinsoku/>
        <w:wordWrap/>
        <w:overflowPunct/>
        <w:topLinePunct w:val="0"/>
        <w:autoSpaceDE/>
        <w:autoSpaceDN/>
        <w:bidi w:val="0"/>
        <w:spacing w:line="480" w:lineRule="exact"/>
        <w:jc w:val="both"/>
        <w:textAlignment w:val="auto"/>
        <w:rPr>
          <w:rFonts w:hint="eastAsia" w:ascii="Times New Roman" w:hAnsi="Times New Roman" w:eastAsia="宋体"/>
          <w:b/>
          <w:sz w:val="24"/>
          <w:szCs w:val="21"/>
        </w:rPr>
      </w:pPr>
      <w:r>
        <w:rPr>
          <w:rFonts w:hint="eastAsia" w:ascii="Times New Roman" w:hAnsi="Times New Roman"/>
          <w:b/>
          <w:sz w:val="24"/>
          <w:szCs w:val="21"/>
          <w:lang w:val="en-US" w:eastAsia="zh-CN"/>
        </w:rPr>
        <w:t>2.</w:t>
      </w:r>
      <w:r>
        <w:rPr>
          <w:rFonts w:hint="eastAsia" w:ascii="Times New Roman" w:hAnsi="Times New Roman" w:eastAsia="宋体"/>
          <w:b/>
          <w:sz w:val="24"/>
          <w:szCs w:val="21"/>
        </w:rPr>
        <w:t>3安全事件处置与应急服务</w:t>
      </w:r>
    </w:p>
    <w:p w14:paraId="2453A5F7">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完成现有政务信息系统的安全事件分级管理制度。安全事件发现当日上报。安全事件的整改方案T+1日完成，疑难问题T+5日完成，紧急问题当日应急解决。应发现但未发现计入工作失误；发现未上报计入工作事故。每年进行一次安全事件应急演练工作。</w:t>
      </w:r>
    </w:p>
    <w:p w14:paraId="1F7E8AF8">
      <w:pPr>
        <w:keepNext w:val="0"/>
        <w:keepLines w:val="0"/>
        <w:pageBreakBefore w:val="0"/>
        <w:tabs>
          <w:tab w:val="left" w:pos="420"/>
        </w:tabs>
        <w:kinsoku/>
        <w:wordWrap/>
        <w:overflowPunct/>
        <w:topLinePunct w:val="0"/>
        <w:autoSpaceDE/>
        <w:autoSpaceDN/>
        <w:bidi w:val="0"/>
        <w:spacing w:line="480" w:lineRule="exact"/>
        <w:jc w:val="both"/>
        <w:textAlignment w:val="auto"/>
        <w:rPr>
          <w:rFonts w:hint="eastAsia" w:ascii="Times New Roman" w:hAnsi="Times New Roman" w:eastAsia="宋体"/>
          <w:b/>
          <w:bCs/>
          <w:sz w:val="24"/>
          <w:szCs w:val="21"/>
        </w:rPr>
      </w:pPr>
      <w:r>
        <w:rPr>
          <w:rFonts w:hint="eastAsia" w:ascii="Times New Roman" w:hAnsi="Times New Roman"/>
          <w:b/>
          <w:bCs/>
          <w:sz w:val="24"/>
          <w:szCs w:val="21"/>
          <w:lang w:val="en-US" w:eastAsia="zh-CN"/>
        </w:rPr>
        <w:t>2.</w:t>
      </w:r>
      <w:r>
        <w:rPr>
          <w:rFonts w:hint="eastAsia" w:ascii="Times New Roman" w:hAnsi="Times New Roman" w:eastAsia="宋体"/>
          <w:b/>
          <w:bCs/>
          <w:sz w:val="24"/>
          <w:szCs w:val="21"/>
        </w:rPr>
        <w:t>4服务人员要求</w:t>
      </w:r>
    </w:p>
    <w:p w14:paraId="34FF71E6">
      <w:pPr>
        <w:keepNext w:val="0"/>
        <w:keepLines w:val="0"/>
        <w:pageBreakBefore w:val="0"/>
        <w:tabs>
          <w:tab w:val="left" w:pos="284"/>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bCs/>
          <w:sz w:val="24"/>
          <w:szCs w:val="21"/>
          <w:lang w:eastAsia="zh-CN"/>
        </w:rPr>
        <w:t>（</w:t>
      </w:r>
      <w:r>
        <w:rPr>
          <w:rFonts w:hint="eastAsia" w:ascii="Times New Roman" w:hAnsi="Times New Roman"/>
          <w:bCs/>
          <w:sz w:val="24"/>
          <w:szCs w:val="21"/>
          <w:lang w:val="en-US" w:eastAsia="zh-CN"/>
        </w:rPr>
        <w:t>1</w:t>
      </w:r>
      <w:r>
        <w:rPr>
          <w:rFonts w:hint="eastAsia" w:ascii="Times New Roman" w:hAnsi="Times New Roman"/>
          <w:bCs/>
          <w:sz w:val="24"/>
          <w:szCs w:val="21"/>
          <w:lang w:eastAsia="zh-CN"/>
        </w:rPr>
        <w:t>）</w:t>
      </w:r>
      <w:r>
        <w:rPr>
          <w:rFonts w:ascii="Times New Roman" w:hAnsi="Times New Roman" w:eastAsia="宋体"/>
          <w:bCs/>
          <w:sz w:val="24"/>
          <w:szCs w:val="21"/>
        </w:rPr>
        <w:t>运维经理（1人）：具有</w:t>
      </w:r>
      <w:r>
        <w:rPr>
          <w:rFonts w:hint="eastAsia" w:ascii="Times New Roman" w:hAnsi="Times New Roman" w:eastAsia="宋体"/>
          <w:bCs/>
          <w:sz w:val="24"/>
          <w:szCs w:val="21"/>
        </w:rPr>
        <w:t>信息化</w:t>
      </w:r>
      <w:r>
        <w:rPr>
          <w:rFonts w:ascii="Times New Roman" w:hAnsi="Times New Roman" w:eastAsia="宋体"/>
          <w:bCs/>
          <w:sz w:val="24"/>
          <w:szCs w:val="21"/>
        </w:rPr>
        <w:t>相关资质和类似项目经验，具备相关行业工作经验，负责日常管理、工作安排，相关文档材料审核和归档，向采购人汇报工作，各项资源调配，投诉管理工作。</w:t>
      </w:r>
    </w:p>
    <w:p w14:paraId="0BC5465A">
      <w:pPr>
        <w:keepNext w:val="0"/>
        <w:keepLines w:val="0"/>
        <w:pageBreakBefore w:val="0"/>
        <w:tabs>
          <w:tab w:val="left" w:pos="284"/>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bCs/>
          <w:sz w:val="24"/>
          <w:szCs w:val="21"/>
          <w:lang w:eastAsia="zh-CN"/>
        </w:rPr>
        <w:t>（</w:t>
      </w:r>
      <w:r>
        <w:rPr>
          <w:rFonts w:hint="eastAsia" w:ascii="Times New Roman" w:hAnsi="Times New Roman"/>
          <w:bCs/>
          <w:sz w:val="24"/>
          <w:szCs w:val="21"/>
          <w:lang w:val="en-US" w:eastAsia="zh-CN"/>
        </w:rPr>
        <w:t>2</w:t>
      </w:r>
      <w:r>
        <w:rPr>
          <w:rFonts w:hint="eastAsia" w:ascii="Times New Roman" w:hAnsi="Times New Roman"/>
          <w:bCs/>
          <w:sz w:val="24"/>
          <w:szCs w:val="21"/>
          <w:lang w:eastAsia="zh-CN"/>
        </w:rPr>
        <w:t>）</w:t>
      </w:r>
      <w:r>
        <w:rPr>
          <w:rFonts w:hint="eastAsia" w:ascii="Times New Roman" w:hAnsi="Times New Roman" w:eastAsia="宋体"/>
          <w:bCs/>
          <w:sz w:val="24"/>
          <w:szCs w:val="21"/>
        </w:rPr>
        <w:t>驻场人员（不少于3人）</w:t>
      </w:r>
      <w:r>
        <w:rPr>
          <w:rFonts w:ascii="Times New Roman" w:hAnsi="Times New Roman" w:eastAsia="宋体"/>
          <w:bCs/>
          <w:sz w:val="24"/>
          <w:szCs w:val="21"/>
        </w:rPr>
        <w:t>：负责项目的具体运维工作，需具有</w:t>
      </w:r>
      <w:r>
        <w:rPr>
          <w:rFonts w:hint="eastAsia" w:ascii="Times New Roman" w:hAnsi="Times New Roman" w:eastAsia="宋体"/>
          <w:bCs/>
          <w:sz w:val="24"/>
          <w:szCs w:val="21"/>
        </w:rPr>
        <w:t>信息化安全</w:t>
      </w:r>
      <w:r>
        <w:rPr>
          <w:rFonts w:ascii="Times New Roman" w:hAnsi="Times New Roman" w:eastAsia="宋体"/>
          <w:bCs/>
          <w:sz w:val="24"/>
          <w:szCs w:val="21"/>
        </w:rPr>
        <w:t>相关资质和类似项目经验。包括但不限于</w:t>
      </w:r>
      <w:r>
        <w:rPr>
          <w:rFonts w:hint="eastAsia" w:ascii="Times New Roman" w:hAnsi="Times New Roman" w:eastAsia="宋体"/>
          <w:sz w:val="24"/>
          <w:szCs w:val="21"/>
        </w:rPr>
        <w:t>政务信息系统</w:t>
      </w:r>
      <w:r>
        <w:rPr>
          <w:rFonts w:ascii="Times New Roman" w:hAnsi="Times New Roman" w:eastAsia="宋体"/>
          <w:bCs/>
          <w:sz w:val="24"/>
          <w:szCs w:val="21"/>
        </w:rPr>
        <w:t>日常运维、故障排查与处理、巡检、应急响应支援等工作。应急响应支援工作要求在应急事件发生后1小时内进行网络事件处理、支援。</w:t>
      </w:r>
    </w:p>
    <w:p w14:paraId="2A0133F5">
      <w:pPr>
        <w:keepNext w:val="0"/>
        <w:keepLines w:val="0"/>
        <w:pageBreakBefore w:val="0"/>
        <w:tabs>
          <w:tab w:val="left" w:pos="284"/>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bCs/>
          <w:sz w:val="24"/>
          <w:szCs w:val="21"/>
        </w:rPr>
      </w:pPr>
      <w:r>
        <w:rPr>
          <w:rFonts w:hint="eastAsia" w:ascii="Times New Roman" w:hAnsi="Times New Roman"/>
          <w:bCs/>
          <w:sz w:val="24"/>
          <w:szCs w:val="21"/>
          <w:lang w:eastAsia="zh-CN"/>
        </w:rPr>
        <w:t>（</w:t>
      </w:r>
      <w:r>
        <w:rPr>
          <w:rFonts w:hint="eastAsia" w:ascii="Times New Roman" w:hAnsi="Times New Roman"/>
          <w:bCs/>
          <w:sz w:val="24"/>
          <w:szCs w:val="21"/>
          <w:lang w:val="en-US" w:eastAsia="zh-CN"/>
        </w:rPr>
        <w:t>3</w:t>
      </w:r>
      <w:r>
        <w:rPr>
          <w:rFonts w:hint="eastAsia" w:ascii="Times New Roman" w:hAnsi="Times New Roman"/>
          <w:bCs/>
          <w:sz w:val="24"/>
          <w:szCs w:val="21"/>
          <w:lang w:eastAsia="zh-CN"/>
        </w:rPr>
        <w:t>）</w:t>
      </w:r>
      <w:r>
        <w:rPr>
          <w:rFonts w:ascii="Times New Roman" w:hAnsi="Times New Roman" w:eastAsia="宋体"/>
          <w:bCs/>
          <w:sz w:val="24"/>
          <w:szCs w:val="21"/>
        </w:rPr>
        <w:t>技术支持团队：中标单位技术支撑队伍不得少于</w:t>
      </w:r>
      <w:r>
        <w:rPr>
          <w:rFonts w:ascii="Times New Roman" w:hAnsi="Times New Roman" w:eastAsia="宋体"/>
          <w:sz w:val="24"/>
          <w:szCs w:val="21"/>
        </w:rPr>
        <w:t>5人</w:t>
      </w:r>
      <w:r>
        <w:rPr>
          <w:rFonts w:ascii="Times New Roman" w:hAnsi="Times New Roman" w:eastAsia="宋体"/>
          <w:bCs/>
          <w:sz w:val="24"/>
          <w:szCs w:val="21"/>
        </w:rPr>
        <w:t>，并具有专业技术服务人员以保证项目的顺利实施。项目组人员必须熟练掌握</w:t>
      </w:r>
      <w:r>
        <w:rPr>
          <w:rFonts w:hint="eastAsia" w:ascii="Times New Roman" w:hAnsi="Times New Roman" w:eastAsia="宋体"/>
          <w:bCs/>
          <w:sz w:val="24"/>
          <w:szCs w:val="21"/>
        </w:rPr>
        <w:t>信息系统</w:t>
      </w:r>
      <w:r>
        <w:rPr>
          <w:rFonts w:ascii="Times New Roman" w:hAnsi="Times New Roman" w:eastAsia="宋体"/>
          <w:bCs/>
          <w:sz w:val="24"/>
          <w:szCs w:val="21"/>
        </w:rPr>
        <w:t>及安全相关标准与规范，能够应对突发性网络事件应急工作。</w:t>
      </w:r>
    </w:p>
    <w:p w14:paraId="30CA5BED">
      <w:pPr>
        <w:pStyle w:val="25"/>
        <w:keepNext w:val="0"/>
        <w:keepLines w:val="0"/>
        <w:pageBreakBefore w:val="0"/>
        <w:kinsoku/>
        <w:wordWrap/>
        <w:overflowPunct/>
        <w:topLinePunct w:val="0"/>
        <w:autoSpaceDE/>
        <w:autoSpaceDN/>
        <w:bidi w:val="0"/>
        <w:spacing w:after="0" w:line="480" w:lineRule="exact"/>
        <w:ind w:left="0" w:leftChars="0" w:firstLine="480" w:firstLineChars="200"/>
        <w:jc w:val="both"/>
        <w:textAlignment w:val="auto"/>
        <w:rPr>
          <w:rFonts w:hint="eastAsia" w:ascii="Times New Roman" w:hAnsi="Times New Roman" w:eastAsia="宋体"/>
          <w:sz w:val="24"/>
          <w:szCs w:val="21"/>
        </w:rPr>
      </w:pPr>
      <w:r>
        <w:rPr>
          <w:rFonts w:hint="eastAsia" w:eastAsia="宋体"/>
          <w:sz w:val="24"/>
          <w:szCs w:val="21"/>
          <w:lang w:eastAsia="zh-CN"/>
        </w:rPr>
        <w:t>（</w:t>
      </w:r>
      <w:r>
        <w:rPr>
          <w:rFonts w:hint="eastAsia" w:eastAsia="宋体"/>
          <w:sz w:val="24"/>
          <w:szCs w:val="21"/>
          <w:lang w:val="en-US" w:eastAsia="zh-CN"/>
        </w:rPr>
        <w:t>4</w:t>
      </w:r>
      <w:r>
        <w:rPr>
          <w:rFonts w:hint="eastAsia" w:eastAsia="宋体"/>
          <w:sz w:val="24"/>
          <w:szCs w:val="21"/>
          <w:lang w:eastAsia="zh-CN"/>
        </w:rPr>
        <w:t>）</w:t>
      </w:r>
      <w:r>
        <w:rPr>
          <w:rFonts w:hint="eastAsia" w:ascii="Times New Roman" w:hAnsi="Times New Roman" w:eastAsia="宋体"/>
          <w:sz w:val="24"/>
          <w:szCs w:val="21"/>
        </w:rPr>
        <w:t>对本项目的驻场服务人员工作内容、职责及服务流程、管理规范建立运营机制。</w:t>
      </w:r>
    </w:p>
    <w:p w14:paraId="46897961">
      <w:pPr>
        <w:keepNext w:val="0"/>
        <w:keepLines w:val="0"/>
        <w:pageBreakBefore w:val="0"/>
        <w:widowControl w:val="0"/>
        <w:numPr>
          <w:ilvl w:val="0"/>
          <w:numId w:val="8"/>
        </w:numPr>
        <w:kinsoku/>
        <w:wordWrap/>
        <w:overflowPunct/>
        <w:topLinePunct w:val="0"/>
        <w:autoSpaceDE/>
        <w:autoSpaceDN/>
        <w:bidi w:val="0"/>
        <w:adjustRightInd/>
        <w:snapToGrid/>
        <w:spacing w:line="480" w:lineRule="exact"/>
        <w:ind w:left="0" w:leftChars="0" w:firstLine="0" w:firstLineChars="0"/>
        <w:jc w:val="both"/>
        <w:textAlignment w:val="auto"/>
        <w:rPr>
          <w:rFonts w:hint="eastAsia" w:ascii="Times New Roman" w:hAnsi="Times New Roman" w:eastAsia="宋体"/>
          <w:b/>
          <w:bCs/>
          <w:sz w:val="24"/>
          <w:szCs w:val="21"/>
        </w:rPr>
      </w:pPr>
      <w:r>
        <w:rPr>
          <w:rFonts w:hint="eastAsia" w:ascii="Times New Roman" w:hAnsi="Times New Roman" w:eastAsia="宋体"/>
          <w:b/>
          <w:bCs/>
          <w:sz w:val="24"/>
          <w:szCs w:val="21"/>
        </w:rPr>
        <w:t>政务信息系统数据定时备份和异地容灾备份</w:t>
      </w:r>
    </w:p>
    <w:p w14:paraId="0E341CAC">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对政务信息系统数据提供定时备份和异地容灾备份服务。</w:t>
      </w:r>
    </w:p>
    <w:p w14:paraId="32713655">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（1）数据定时备份</w:t>
      </w:r>
    </w:p>
    <w:p w14:paraId="19DCD98C">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对政务信息系统数据内所有服务器提供每天一次的增量备份，每周做一次包括数据信息的全备份，并对备份数据的完整性进行校验。备份数据覆盖周期为1个月，备份容量800TB。</w:t>
      </w:r>
    </w:p>
    <w:p w14:paraId="45E018B0">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（2）数据实时备份</w:t>
      </w:r>
    </w:p>
    <w:p w14:paraId="4F224972">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对于重要信息系统内的数据提供实时备份并把备份数据同步到同城其他机房，备份容量100TB。</w:t>
      </w:r>
    </w:p>
    <w:p w14:paraId="63AE43A1">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（3）备份恢复管理</w:t>
      </w:r>
    </w:p>
    <w:p w14:paraId="7ECF0625">
      <w:pPr>
        <w:keepNext w:val="0"/>
        <w:keepLines w:val="0"/>
        <w:pageBreakBefore w:val="0"/>
        <w:tabs>
          <w:tab w:val="left" w:pos="420"/>
        </w:tabs>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sz w:val="24"/>
          <w:szCs w:val="21"/>
        </w:rPr>
      </w:pPr>
      <w:r>
        <w:rPr>
          <w:rFonts w:hint="eastAsia" w:ascii="Times New Roman" w:hAnsi="Times New Roman" w:eastAsia="宋体"/>
          <w:sz w:val="24"/>
          <w:szCs w:val="21"/>
        </w:rPr>
        <w:t>对备份数据就其可用性和完整性进行测试，周期为半年一次，并确保在规定的时间内恢复系统。明确重要业务信息的保存期以及其它需要永久保存的归档拷贝的保存期。指导对恢复程序定期进行检查及测试，以确保在恢复操作程序所预定的时间内完成。</w:t>
      </w:r>
    </w:p>
    <w:p w14:paraId="71BD6946">
      <w:pPr>
        <w:keepNext w:val="0"/>
        <w:keepLines w:val="0"/>
        <w:pageBreakBefore w:val="0"/>
        <w:widowControl w:val="0"/>
        <w:numPr>
          <w:ilvl w:val="0"/>
          <w:numId w:val="8"/>
        </w:numPr>
        <w:kinsoku/>
        <w:wordWrap/>
        <w:overflowPunct/>
        <w:topLinePunct w:val="0"/>
        <w:autoSpaceDE/>
        <w:autoSpaceDN/>
        <w:bidi w:val="0"/>
        <w:adjustRightInd/>
        <w:snapToGrid/>
        <w:spacing w:line="480" w:lineRule="exact"/>
        <w:ind w:left="0" w:leftChars="0" w:firstLine="0" w:firstLineChars="0"/>
        <w:jc w:val="both"/>
        <w:textAlignment w:val="auto"/>
        <w:rPr>
          <w:rFonts w:hint="eastAsia" w:ascii="Times New Roman" w:hAnsi="Times New Roman" w:eastAsia="宋体"/>
          <w:b/>
          <w:bCs/>
          <w:sz w:val="24"/>
          <w:szCs w:val="21"/>
        </w:rPr>
      </w:pPr>
      <w:r>
        <w:rPr>
          <w:rFonts w:hint="eastAsia" w:ascii="Times New Roman" w:hAnsi="Times New Roman" w:eastAsia="宋体"/>
          <w:b/>
          <w:bCs/>
          <w:sz w:val="24"/>
          <w:szCs w:val="21"/>
        </w:rPr>
        <w:t>电子政务外网乡镇覆盖服务</w:t>
      </w:r>
    </w:p>
    <w:p w14:paraId="7F7F68CA">
      <w:pPr>
        <w:pStyle w:val="9"/>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bCs/>
          <w:sz w:val="24"/>
          <w:szCs w:val="21"/>
        </w:rPr>
      </w:pPr>
      <w:r>
        <w:rPr>
          <w:rFonts w:hint="eastAsia" w:ascii="Times New Roman" w:hAnsi="Times New Roman" w:eastAsia="宋体" w:cs="宋体"/>
          <w:bCs/>
          <w:sz w:val="24"/>
          <w:szCs w:val="21"/>
        </w:rPr>
        <w:t>（1）提供1年专网服务，服务期内提供7*24小时服务，接到报修电话2小时到达现场，一般故障3小时解决，重大故障8小时内解决。</w:t>
      </w:r>
    </w:p>
    <w:p w14:paraId="78F89848">
      <w:pPr>
        <w:pStyle w:val="9"/>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bCs/>
          <w:sz w:val="24"/>
          <w:szCs w:val="21"/>
        </w:rPr>
      </w:pPr>
      <w:r>
        <w:rPr>
          <w:rFonts w:hint="eastAsia" w:ascii="Times New Roman" w:hAnsi="Times New Roman" w:eastAsia="宋体" w:cs="宋体"/>
          <w:bCs/>
          <w:sz w:val="24"/>
          <w:szCs w:val="21"/>
        </w:rPr>
        <w:t>（2）采用MPLS VPN网状架构组网，实现全市269个村、社区及七站八所与太仓行政中心核心网络高速互联。</w:t>
      </w:r>
    </w:p>
    <w:p w14:paraId="2349E51D">
      <w:pPr>
        <w:pStyle w:val="9"/>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bCs/>
          <w:sz w:val="24"/>
          <w:szCs w:val="21"/>
        </w:rPr>
      </w:pPr>
      <w:r>
        <w:rPr>
          <w:rFonts w:hint="eastAsia" w:ascii="Times New Roman" w:hAnsi="Times New Roman" w:eastAsia="宋体" w:cs="宋体"/>
          <w:bCs/>
          <w:sz w:val="24"/>
          <w:szCs w:val="21"/>
        </w:rPr>
        <w:t>（3）各接入点网速≥100M，在此线路上进行电子政务外网、农村集体资产交易、档案馆专网、育龄妇女信息系统、民政局OA系统、统计专网、组织部专网、网格化管理、粮库、应急局及水利提闸视频监控等数据的传输。</w:t>
      </w:r>
    </w:p>
    <w:p w14:paraId="7000DE29">
      <w:pPr>
        <w:keepNext w:val="0"/>
        <w:keepLines w:val="0"/>
        <w:pageBreakBefore w:val="0"/>
        <w:widowControl w:val="0"/>
        <w:numPr>
          <w:ilvl w:val="0"/>
          <w:numId w:val="8"/>
        </w:numPr>
        <w:kinsoku/>
        <w:wordWrap/>
        <w:overflowPunct/>
        <w:topLinePunct w:val="0"/>
        <w:autoSpaceDE/>
        <w:autoSpaceDN/>
        <w:bidi w:val="0"/>
        <w:adjustRightInd/>
        <w:snapToGrid/>
        <w:spacing w:line="480" w:lineRule="exact"/>
        <w:ind w:left="0" w:leftChars="0" w:firstLine="0" w:firstLineChars="0"/>
        <w:jc w:val="both"/>
        <w:textAlignment w:val="auto"/>
        <w:rPr>
          <w:rFonts w:hint="eastAsia" w:ascii="Times New Roman" w:hAnsi="Times New Roman" w:eastAsia="宋体"/>
          <w:b/>
          <w:bCs/>
          <w:sz w:val="24"/>
          <w:szCs w:val="21"/>
        </w:rPr>
      </w:pPr>
      <w:r>
        <w:rPr>
          <w:rFonts w:hint="eastAsia" w:ascii="Times New Roman" w:hAnsi="Times New Roman" w:eastAsia="宋体"/>
          <w:b/>
          <w:bCs/>
          <w:sz w:val="24"/>
          <w:szCs w:val="21"/>
        </w:rPr>
        <w:t>专网、专用系统机柜租赁服务</w:t>
      </w:r>
    </w:p>
    <w:p w14:paraId="7A47BECF">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cs="宋体"/>
          <w:b/>
          <w:bCs/>
          <w:sz w:val="24"/>
          <w:szCs w:val="21"/>
        </w:rPr>
      </w:pPr>
      <w:r>
        <w:rPr>
          <w:rFonts w:hint="eastAsia" w:ascii="Times New Roman" w:hAnsi="Times New Roman" w:cs="宋体"/>
          <w:b/>
          <w:bCs/>
          <w:sz w:val="24"/>
          <w:szCs w:val="21"/>
          <w:lang w:val="en-US" w:eastAsia="zh-CN"/>
        </w:rPr>
        <w:t>5.</w:t>
      </w:r>
      <w:r>
        <w:rPr>
          <w:rFonts w:hint="eastAsia" w:ascii="Times New Roman" w:hAnsi="Times New Roman" w:eastAsia="宋体" w:cs="宋体"/>
          <w:b/>
          <w:bCs/>
          <w:sz w:val="24"/>
          <w:szCs w:val="21"/>
        </w:rPr>
        <w:t>1服务内容</w:t>
      </w:r>
    </w:p>
    <w:p w14:paraId="49AAD554">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提供100个42U标准服务器机柜，每个机柜提供2路各5KW接入功率。</w:t>
      </w:r>
    </w:p>
    <w:p w14:paraId="77D05C5A">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cs="宋体"/>
          <w:b/>
          <w:sz w:val="24"/>
          <w:szCs w:val="21"/>
        </w:rPr>
      </w:pPr>
      <w:r>
        <w:rPr>
          <w:rFonts w:hint="eastAsia" w:ascii="Times New Roman" w:hAnsi="Times New Roman" w:cs="宋体"/>
          <w:b/>
          <w:sz w:val="24"/>
          <w:szCs w:val="21"/>
          <w:lang w:val="en-US" w:eastAsia="zh-CN"/>
        </w:rPr>
        <w:t>5.</w:t>
      </w:r>
      <w:r>
        <w:rPr>
          <w:rFonts w:hint="eastAsia" w:ascii="Times New Roman" w:hAnsi="Times New Roman" w:eastAsia="宋体" w:cs="宋体"/>
          <w:b/>
          <w:sz w:val="24"/>
          <w:szCs w:val="21"/>
        </w:rPr>
        <w:t>2机房环境要求</w:t>
      </w:r>
    </w:p>
    <w:p w14:paraId="76611447">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 xml:space="preserve">（1）机房供配电系统具备冗余设计，包括： </w:t>
      </w:r>
    </w:p>
    <w:p w14:paraId="7648E2D3">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二路高压供电，自备独立高压变电站；</w:t>
      </w:r>
    </w:p>
    <w:p w14:paraId="01816D94">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双路UPS电源，在线式UPS采用 (N＋1) 模式工作；</w:t>
      </w:r>
    </w:p>
    <w:p w14:paraId="2B8F367C">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自备发电机，发电机在市电发生故障时可自动投入使用；</w:t>
      </w:r>
    </w:p>
    <w:p w14:paraId="59077333">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机房内的空调及照明系统均采用双路冗余电源供电，机房可确保99.99%以上的电力持续供应率。</w:t>
      </w:r>
    </w:p>
    <w:p w14:paraId="43D0F01C">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（2）机房配置冗余精密空调，可以满足IDC机房对温湿度的要求</w:t>
      </w:r>
    </w:p>
    <w:p w14:paraId="389E8E16">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（3）机房有356*24小时值班人员，随时监控机房状态</w:t>
      </w:r>
    </w:p>
    <w:p w14:paraId="5F7B877C">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（4）机房配置自动气体灭火系统</w:t>
      </w:r>
    </w:p>
    <w:p w14:paraId="6AE89112">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（5）机房配置动力环境监控系统</w:t>
      </w:r>
    </w:p>
    <w:p w14:paraId="4C10F0C9">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（6）机房配置视频监控和门禁系统</w:t>
      </w:r>
    </w:p>
    <w:p w14:paraId="29668195">
      <w:pPr>
        <w:keepNext w:val="0"/>
        <w:keepLines w:val="0"/>
        <w:pageBreakBefore w:val="0"/>
        <w:kinsoku/>
        <w:wordWrap/>
        <w:overflowPunct/>
        <w:topLinePunct w:val="0"/>
        <w:autoSpaceDE/>
        <w:autoSpaceDN/>
        <w:bidi w:val="0"/>
        <w:spacing w:line="480" w:lineRule="exact"/>
        <w:jc w:val="both"/>
        <w:textAlignment w:val="auto"/>
        <w:rPr>
          <w:rFonts w:hint="eastAsia" w:ascii="Times New Roman" w:hAnsi="Times New Roman" w:eastAsia="宋体" w:cs="宋体"/>
          <w:b/>
          <w:sz w:val="24"/>
          <w:szCs w:val="21"/>
        </w:rPr>
      </w:pPr>
      <w:r>
        <w:rPr>
          <w:rFonts w:hint="eastAsia" w:ascii="Times New Roman" w:hAnsi="Times New Roman" w:cs="宋体"/>
          <w:b/>
          <w:sz w:val="24"/>
          <w:szCs w:val="21"/>
          <w:lang w:val="en-US" w:eastAsia="zh-CN"/>
        </w:rPr>
        <w:t>5.</w:t>
      </w:r>
      <w:r>
        <w:rPr>
          <w:rFonts w:hint="eastAsia" w:ascii="Times New Roman" w:hAnsi="Times New Roman" w:eastAsia="宋体" w:cs="宋体"/>
          <w:b/>
          <w:sz w:val="24"/>
          <w:szCs w:val="21"/>
        </w:rPr>
        <w:t>3机房运维服务要求</w:t>
      </w:r>
    </w:p>
    <w:p w14:paraId="17EA4DD1">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（1）提供7X24小时的热线服务电话。</w:t>
      </w:r>
    </w:p>
    <w:p w14:paraId="5D10D83B">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（2）每天对机房环境进行巡查，包括：</w:t>
      </w:r>
    </w:p>
    <w:p w14:paraId="1458270C">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2.1机房温、湿度检测及记录。</w:t>
      </w:r>
    </w:p>
    <w:p w14:paraId="6A0AAA79">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2.2检测市电电压、电流并记录。</w:t>
      </w:r>
    </w:p>
    <w:p w14:paraId="6E7C5D8C">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2.3设备外观检查，检测UPS电压、电流、负载；有无报警、日志有无报错并记录。</w:t>
      </w:r>
    </w:p>
    <w:p w14:paraId="7C3C37A8">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2.4检测设备制冷是否正常，有无漏水，查看日志有无报警，指示灯是否正常并记录。</w:t>
      </w:r>
    </w:p>
    <w:p w14:paraId="6D0F48FD">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2.5查看机房视频监控、门禁等安防设备是否正常并记录；</w:t>
      </w:r>
    </w:p>
    <w:p w14:paraId="4809AA89">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2.6查看运维软件、机房环境监控系统软件等运行情况并记录；</w:t>
      </w:r>
    </w:p>
    <w:p w14:paraId="00351EB6">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2.7查看机房消防系统运行情况并记录；</w:t>
      </w:r>
    </w:p>
    <w:p w14:paraId="2C5D4BD2">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2.8查看机房强弱电接地及防雷情况并记录；</w:t>
      </w:r>
    </w:p>
    <w:p w14:paraId="0FC47135">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2.9查看机房设备连接是否正常，线路是否有掉线或损坏。</w:t>
      </w:r>
    </w:p>
    <w:p w14:paraId="61E51B3A">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（3）每天服务器进行巡查，巡查工作内容包括：</w:t>
      </w:r>
    </w:p>
    <w:p w14:paraId="554466CF">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3.1服务器指示灯及外观检查。</w:t>
      </w:r>
    </w:p>
    <w:p w14:paraId="0080A9B6">
      <w:pPr>
        <w:keepNext w:val="0"/>
        <w:keepLines w:val="0"/>
        <w:pageBreakBefore w:val="0"/>
        <w:kinsoku/>
        <w:wordWrap/>
        <w:overflowPunct/>
        <w:topLinePunct w:val="0"/>
        <w:autoSpaceDE/>
        <w:autoSpaceDN/>
        <w:bidi w:val="0"/>
        <w:spacing w:line="480" w:lineRule="exact"/>
        <w:ind w:firstLine="480" w:firstLineChars="200"/>
        <w:jc w:val="both"/>
        <w:textAlignment w:val="auto"/>
        <w:rPr>
          <w:rFonts w:hint="eastAsia" w:ascii="Times New Roman" w:hAnsi="Times New Roman" w:eastAsia="宋体" w:cs="宋体"/>
          <w:sz w:val="24"/>
          <w:szCs w:val="21"/>
        </w:rPr>
      </w:pPr>
      <w:r>
        <w:rPr>
          <w:rFonts w:hint="eastAsia" w:ascii="Times New Roman" w:hAnsi="Times New Roman" w:eastAsia="宋体" w:cs="宋体"/>
          <w:sz w:val="24"/>
          <w:szCs w:val="21"/>
        </w:rPr>
        <w:t>3.2查看服务器各部件是否正常。</w:t>
      </w:r>
    </w:p>
    <w:p w14:paraId="38B77664">
      <w:pPr>
        <w:keepNext w:val="0"/>
        <w:keepLines w:val="0"/>
        <w:pageBreakBefore w:val="0"/>
        <w:widowControl/>
        <w:numPr>
          <w:ilvl w:val="0"/>
          <w:numId w:val="0"/>
        </w:numPr>
        <w:tabs>
          <w:tab w:val="left" w:pos="360"/>
          <w:tab w:val="left" w:pos="753"/>
        </w:tabs>
        <w:kinsoku/>
        <w:wordWrap/>
        <w:overflowPunct/>
        <w:topLinePunct w:val="0"/>
        <w:autoSpaceDE/>
        <w:autoSpaceDN/>
        <w:bidi w:val="0"/>
        <w:adjustRightInd w:val="0"/>
        <w:snapToGrid w:val="0"/>
        <w:spacing w:line="480" w:lineRule="exact"/>
        <w:ind w:firstLine="480" w:firstLineChars="200"/>
        <w:jc w:val="both"/>
        <w:textAlignment w:val="auto"/>
        <w:outlineLvl w:val="1"/>
        <w:rPr>
          <w:rFonts w:hint="eastAsia" w:ascii="Times New Roman" w:hAnsi="Times New Roman" w:eastAsia="宋体" w:cs="宋体"/>
          <w:sz w:val="24"/>
          <w:szCs w:val="21"/>
        </w:rPr>
      </w:pPr>
      <w:r>
        <w:rPr>
          <w:rFonts w:hint="eastAsia" w:ascii="Times New Roman" w:hAnsi="Times New Roman" w:eastAsia="宋体" w:cs="宋体"/>
          <w:kern w:val="2"/>
          <w:sz w:val="24"/>
          <w:szCs w:val="21"/>
          <w:lang w:val="en-US" w:eastAsia="zh-CN" w:bidi="ar-SA"/>
        </w:rPr>
        <w:t>（4）</w:t>
      </w:r>
      <w:r>
        <w:rPr>
          <w:rFonts w:hint="eastAsia" w:ascii="Times New Roman" w:hAnsi="Times New Roman" w:eastAsia="宋体" w:cs="宋体"/>
          <w:sz w:val="24"/>
          <w:szCs w:val="21"/>
        </w:rPr>
        <w:t>负责协助甲方运维主管人员完成运维相关的组织建设与制度建设，协助甲方运维主管人员建立IT基础架构日常管理体系、编制日常工作规范。</w:t>
      </w:r>
    </w:p>
    <w:p w14:paraId="1452B7B8">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both"/>
        <w:textAlignment w:val="auto"/>
        <w:rPr>
          <w:rFonts w:hint="default" w:ascii="宋体" w:hAnsi="宋体" w:eastAsia="宋体" w:cs="宋体"/>
          <w:b/>
          <w:bCs/>
          <w:sz w:val="24"/>
          <w:szCs w:val="21"/>
          <w:lang w:val="en-US" w:eastAsia="zh-CN"/>
        </w:rPr>
      </w:pPr>
      <w:r>
        <w:rPr>
          <w:rFonts w:hint="eastAsia" w:ascii="宋体" w:hAnsi="宋体" w:eastAsia="宋体" w:cs="宋体"/>
          <w:b/>
          <w:bCs/>
          <w:sz w:val="24"/>
          <w:szCs w:val="21"/>
          <w:lang w:val="en-US" w:eastAsia="zh-CN"/>
        </w:rPr>
        <w:t>四、服务期限</w:t>
      </w:r>
    </w:p>
    <w:p w14:paraId="784F1750">
      <w:pPr>
        <w:keepNext w:val="0"/>
        <w:keepLines w:val="0"/>
        <w:pageBreakBefore w:val="0"/>
        <w:widowControl/>
        <w:numPr>
          <w:ilvl w:val="0"/>
          <w:numId w:val="0"/>
        </w:numPr>
        <w:tabs>
          <w:tab w:val="left" w:pos="360"/>
          <w:tab w:val="left" w:pos="753"/>
        </w:tabs>
        <w:kinsoku/>
        <w:wordWrap/>
        <w:overflowPunct/>
        <w:topLinePunct w:val="0"/>
        <w:autoSpaceDE/>
        <w:autoSpaceDN/>
        <w:bidi w:val="0"/>
        <w:adjustRightInd w:val="0"/>
        <w:snapToGrid w:val="0"/>
        <w:spacing w:line="480" w:lineRule="exact"/>
        <w:ind w:firstLine="480" w:firstLineChars="200"/>
        <w:jc w:val="both"/>
        <w:textAlignment w:val="auto"/>
        <w:outlineLvl w:val="1"/>
        <w:rPr>
          <w:rFonts w:hint="default"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服务期限：</w:t>
      </w:r>
      <w:r>
        <w:rPr>
          <w:rFonts w:hint="default" w:ascii="Times New Roman" w:hAnsi="Times New Roman" w:eastAsia="宋体" w:cs="宋体"/>
          <w:sz w:val="24"/>
          <w:szCs w:val="21"/>
          <w:lang w:val="en-US" w:eastAsia="zh-CN"/>
        </w:rPr>
        <w:t>为自签订合同之日起一年。</w:t>
      </w:r>
    </w:p>
    <w:p w14:paraId="4415ECB4">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0" w:firstLineChars="0"/>
        <w:jc w:val="both"/>
        <w:textAlignment w:val="auto"/>
        <w:rPr>
          <w:rFonts w:hint="eastAsia" w:ascii="宋体" w:hAnsi="宋体" w:eastAsia="宋体" w:cs="宋体"/>
          <w:b/>
          <w:bCs/>
          <w:sz w:val="24"/>
          <w:szCs w:val="21"/>
          <w:lang w:val="en-US" w:eastAsia="zh-CN"/>
        </w:rPr>
      </w:pPr>
      <w:r>
        <w:rPr>
          <w:rFonts w:hint="eastAsia" w:ascii="宋体" w:hAnsi="宋体" w:eastAsia="宋体" w:cs="宋体"/>
          <w:b/>
          <w:bCs/>
          <w:sz w:val="24"/>
          <w:szCs w:val="21"/>
          <w:lang w:val="en-US" w:eastAsia="zh-CN"/>
        </w:rPr>
        <w:t>五、支付方式</w:t>
      </w:r>
    </w:p>
    <w:p w14:paraId="2D0167FF">
      <w:pPr>
        <w:keepNext w:val="0"/>
        <w:keepLines w:val="0"/>
        <w:pageBreakBefore w:val="0"/>
        <w:widowControl/>
        <w:numPr>
          <w:ilvl w:val="0"/>
          <w:numId w:val="0"/>
        </w:numPr>
        <w:tabs>
          <w:tab w:val="left" w:pos="360"/>
          <w:tab w:val="left" w:pos="753"/>
        </w:tabs>
        <w:kinsoku/>
        <w:wordWrap/>
        <w:overflowPunct/>
        <w:topLinePunct w:val="0"/>
        <w:autoSpaceDE/>
        <w:autoSpaceDN/>
        <w:bidi w:val="0"/>
        <w:adjustRightInd w:val="0"/>
        <w:snapToGrid w:val="0"/>
        <w:spacing w:line="480" w:lineRule="exact"/>
        <w:ind w:firstLine="480" w:firstLineChars="200"/>
        <w:jc w:val="both"/>
        <w:textAlignment w:val="auto"/>
        <w:outlineLvl w:val="1"/>
        <w:rPr>
          <w:rFonts w:hint="default" w:ascii="Times New Roman" w:hAnsi="Times New Roman" w:eastAsia="宋体" w:cs="宋体"/>
          <w:sz w:val="24"/>
          <w:szCs w:val="21"/>
          <w:lang w:val="en-US" w:eastAsia="zh-CN"/>
        </w:rPr>
      </w:pPr>
      <w:r>
        <w:rPr>
          <w:rFonts w:hint="eastAsia" w:ascii="宋体" w:hAnsi="宋体" w:eastAsia="宋体" w:cs="宋体"/>
          <w:sz w:val="24"/>
          <w:szCs w:val="24"/>
        </w:rPr>
        <w:t>合同签订后收到发票60天内支付</w:t>
      </w:r>
      <w:r>
        <w:rPr>
          <w:rFonts w:hint="eastAsia" w:ascii="宋体" w:hAnsi="宋体" w:eastAsia="宋体" w:cs="宋体"/>
          <w:sz w:val="24"/>
          <w:szCs w:val="24"/>
          <w:lang w:val="en-US" w:eastAsia="zh-CN"/>
        </w:rPr>
        <w:t>660.7</w:t>
      </w:r>
      <w:r>
        <w:rPr>
          <w:rFonts w:hint="eastAsia" w:ascii="宋体" w:hAnsi="宋体" w:eastAsia="宋体" w:cs="宋体"/>
          <w:sz w:val="24"/>
          <w:szCs w:val="24"/>
        </w:rPr>
        <w:t>万元人民币，余款根据下一年度财政资金落实情况支付</w:t>
      </w:r>
      <w:r>
        <w:rPr>
          <w:rFonts w:hint="default" w:ascii="Times New Roman" w:hAnsi="Times New Roman" w:eastAsia="宋体" w:cs="宋体"/>
          <w:sz w:val="24"/>
          <w:szCs w:val="21"/>
          <w:lang w:val="en-US" w:eastAsia="zh-CN"/>
        </w:rPr>
        <w:t>。</w:t>
      </w:r>
    </w:p>
    <w:p w14:paraId="1834D5F8">
      <w:pPr>
        <w:spacing w:line="440" w:lineRule="exact"/>
        <w:rPr>
          <w:rFonts w:hint="eastAsia" w:ascii="宋体" w:hAnsi="宋体" w:eastAsia="宋体" w:cs="宋体"/>
          <w:b/>
          <w:bCs/>
          <w:sz w:val="24"/>
          <w:szCs w:val="24"/>
          <w:highlight w:val="none"/>
        </w:rPr>
      </w:pPr>
    </w:p>
    <w:p w14:paraId="596956BF">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p>
    <w:p w14:paraId="3C11B388">
      <w:pP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附件：服务类项目履约验收方案</w:t>
      </w:r>
    </w:p>
    <w:p w14:paraId="64E211B7">
      <w:pPr>
        <w:pStyle w:val="59"/>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一、项目概况</w:t>
      </w:r>
    </w:p>
    <w:p w14:paraId="4A36CE18">
      <w:pPr>
        <w:pStyle w:val="59"/>
        <w:spacing w:line="44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p>
    <w:p w14:paraId="217645BC">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7B3B33E0">
      <w:pPr>
        <w:pStyle w:val="59"/>
        <w:spacing w:line="44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供应商名称：</w:t>
      </w:r>
    </w:p>
    <w:p w14:paraId="5148846E">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 </w:t>
      </w:r>
    </w:p>
    <w:p w14:paraId="439C1EBA">
      <w:pPr>
        <w:pStyle w:val="59"/>
        <w:spacing w:line="44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验收主体：</w:t>
      </w:r>
    </w:p>
    <w:p w14:paraId="05B7A603">
      <w:pPr>
        <w:pStyle w:val="59"/>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二、验收目的</w:t>
      </w:r>
    </w:p>
    <w:p w14:paraId="41AC03DF">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4C07C30E">
      <w:pPr>
        <w:pStyle w:val="59"/>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三、验收依据</w:t>
      </w:r>
    </w:p>
    <w:p w14:paraId="2395C4EA">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2E98CE28">
      <w:pPr>
        <w:pStyle w:val="59"/>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四、验收责任主体</w:t>
      </w:r>
    </w:p>
    <w:p w14:paraId="32C69C33">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C0C1D00">
      <w:pPr>
        <w:pStyle w:val="59"/>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五、验收方式(形式)</w:t>
      </w:r>
    </w:p>
    <w:p w14:paraId="7C863C32">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5.1日常考核、分段验收</w:t>
      </w:r>
    </w:p>
    <w:p w14:paraId="451487E4">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对于一次性整体验收不能反映履约情况的服务类项目，需要在服务期内对供应商服务实施情况进行日常考核、分段验收，应科学确定检查周期或分段节点，指派具体考核人员，分别实施验收。</w:t>
      </w:r>
    </w:p>
    <w:p w14:paraId="3F4BBDDD">
      <w:pPr>
        <w:pStyle w:val="59"/>
        <w:spacing w:line="440" w:lineRule="exact"/>
        <w:ind w:firstLine="482"/>
        <w:rPr>
          <w:rFonts w:hint="eastAsia" w:ascii="宋体" w:hAnsi="宋体" w:eastAsia="宋体" w:cs="宋体"/>
          <w:sz w:val="24"/>
          <w:szCs w:val="24"/>
          <w:highlight w:val="none"/>
        </w:rPr>
      </w:pPr>
      <w:r>
        <w:rPr>
          <w:rFonts w:hint="eastAsia" w:ascii="宋体" w:hAnsi="宋体" w:eastAsia="宋体" w:cs="宋体"/>
          <w:b/>
          <w:bCs/>
          <w:sz w:val="24"/>
          <w:szCs w:val="24"/>
          <w:highlight w:val="none"/>
        </w:rPr>
        <w:t>5.2最终验收</w:t>
      </w:r>
    </w:p>
    <w:p w14:paraId="5699739F">
      <w:pPr>
        <w:pStyle w:val="59"/>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六、验收内容：</w:t>
      </w:r>
    </w:p>
    <w:p w14:paraId="39A242CE">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197FD36B">
      <w:pPr>
        <w:pStyle w:val="59"/>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七、验收程序：</w:t>
      </w:r>
    </w:p>
    <w:p w14:paraId="6B85F156">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7.1验收准备</w:t>
      </w:r>
    </w:p>
    <w:p w14:paraId="5BBFACFB">
      <w:pPr>
        <w:pStyle w:val="59"/>
        <w:spacing w:line="440" w:lineRule="exact"/>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宋体"/>
          <w:b/>
          <w:bCs/>
          <w:sz w:val="24"/>
          <w:szCs w:val="24"/>
          <w:highlight w:val="none"/>
        </w:rPr>
        <w:t>供应商在收到催告后五个工作日内拒不配合的，采购人应依照合同约定追究其责任。</w:t>
      </w:r>
    </w:p>
    <w:p w14:paraId="7F680B68">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7.1.2供应商应当配合采购人、采购代理机构做好项目验收工作，及时提供与项目验收相关的生产、技术、服务、数量、质量、安全、合格证明及验收所必须具备的其他材料。</w:t>
      </w:r>
    </w:p>
    <w:p w14:paraId="18FCC655">
      <w:pPr>
        <w:pStyle w:val="59"/>
        <w:spacing w:line="440" w:lineRule="exact"/>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7.1.3采购人应及时全面准备验收，自收到验收</w:t>
      </w:r>
      <w:r>
        <w:rPr>
          <w:rFonts w:hint="eastAsia" w:ascii="宋体" w:hAnsi="宋体" w:eastAsia="宋体" w:cs="宋体"/>
          <w:b/>
          <w:bCs/>
          <w:sz w:val="24"/>
          <w:szCs w:val="24"/>
          <w:highlight w:val="none"/>
        </w:rPr>
        <w:t>申请之日起五个工作日内</w:t>
      </w:r>
      <w:r>
        <w:rPr>
          <w:rFonts w:hint="eastAsia" w:ascii="宋体" w:hAnsi="宋体" w:eastAsia="宋体" w:cs="宋体"/>
          <w:sz w:val="24"/>
          <w:szCs w:val="24"/>
          <w:highlight w:val="none"/>
        </w:rPr>
        <w:t>做好通水、通电、准备验收工具等必要的验收准备工作、启动项目验收、通知供应商。</w:t>
      </w:r>
    </w:p>
    <w:p w14:paraId="43C79BDF">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7.2验收小组</w:t>
      </w:r>
    </w:p>
    <w:p w14:paraId="645DFA23">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5E99391C">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308A9DD4">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7.3参与验收人员</w:t>
      </w:r>
    </w:p>
    <w:p w14:paraId="747D1E97">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7.3.1技术复杂或专业性强的政府采购项目，可以邀请有资质的第三方专业机构参加验收并出具专业意见。</w:t>
      </w:r>
    </w:p>
    <w:p w14:paraId="56B926D8">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7.3.2对于采购人和使用人分离的采购项目，采购人或其委托的采购代理机构应当邀请实际使用人参与验收</w:t>
      </w:r>
    </w:p>
    <w:p w14:paraId="3BD09BCE">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7.3.3政府向社会公众提供的公共服务项目，验收时应当邀请服务对象进行公共服务项目满意度评价，评价结果作为履约验收的参考依据。</w:t>
      </w:r>
    </w:p>
    <w:p w14:paraId="1363DD6A">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7.4验收原则</w:t>
      </w:r>
    </w:p>
    <w:p w14:paraId="5432F4FC">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政府采购履约验收应当遵循全面完整、客观真实、诚实信用的原则，坚持公开透明、应验必验、验收必严、违约必究。</w:t>
      </w:r>
    </w:p>
    <w:p w14:paraId="1832539C">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1C3FF1A1">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7.4.2项目验收范围应当完整，与采购合同一致，不得省略、遗漏和缺失，也不得擅自扩大范围。</w:t>
      </w:r>
    </w:p>
    <w:p w14:paraId="32EB3D69">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7.4.3项目验收方式应当符合项目特点，不能明确客观标准、涉及主观判断的，可以通过在采购人、使用人中开展问卷调查等方式予以客观、量化。</w:t>
      </w:r>
    </w:p>
    <w:p w14:paraId="2377EC05">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7.4.4项目验收标准应包括所有客观、量化指标，符合采购合同约定，未进行相应约定的，应当符合法律法规、政策要求、国家标准、行业标准，地方标准或企业标准等有关标准。</w:t>
      </w:r>
    </w:p>
    <w:p w14:paraId="3E720618">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7.4.5项目验收意见应当客观真实。验收小组成员意见不一致时，按照少数服从多数的原则作出验收意见。</w:t>
      </w:r>
    </w:p>
    <w:p w14:paraId="269D436B">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7.4.6验收方法主要包括全部查验核对和抽查核对。</w:t>
      </w:r>
    </w:p>
    <w:p w14:paraId="148DA607">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7.5验收记录</w:t>
      </w:r>
    </w:p>
    <w:p w14:paraId="4B722694">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7.5.1验收小组应当要求参与验收的供应商、专业机构、专家和服务对象等出具书面意见，作为验收书的重要组成部分。</w:t>
      </w:r>
    </w:p>
    <w:p w14:paraId="74E8AC0E">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38ABCA2B">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504AD1C9">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八、验收结果</w:t>
      </w:r>
    </w:p>
    <w:p w14:paraId="154B8F4F">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729A1813">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1615DFF0">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22920943">
      <w:pPr>
        <w:pStyle w:val="59"/>
        <w:spacing w:line="440" w:lineRule="exact"/>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九、验收资料归档</w:t>
      </w:r>
    </w:p>
    <w:p w14:paraId="16577B6F">
      <w:pPr>
        <w:pStyle w:val="59"/>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49ED6890">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pacing w:val="9"/>
          <w:sz w:val="44"/>
          <w:szCs w:val="44"/>
          <w:highlight w:val="none"/>
        </w:rPr>
      </w:pPr>
    </w:p>
    <w:p w14:paraId="2DD82777">
      <w:pPr>
        <w:rPr>
          <w:rFonts w:hint="eastAsia" w:ascii="宋体" w:hAnsi="宋体" w:eastAsia="宋体" w:cs="宋体"/>
          <w:highlight w:val="none"/>
        </w:rPr>
      </w:pPr>
      <w:r>
        <w:rPr>
          <w:rFonts w:hint="eastAsia" w:ascii="宋体" w:hAnsi="宋体" w:eastAsia="宋体" w:cs="宋体"/>
          <w:highlight w:val="none"/>
        </w:rPr>
        <w:br w:type="page"/>
      </w:r>
    </w:p>
    <w:p w14:paraId="3794EBE9">
      <w:pPr>
        <w:rPr>
          <w:rFonts w:hint="eastAsia"/>
        </w:rPr>
      </w:pPr>
    </w:p>
    <w:p w14:paraId="6A0A7C8E">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z w:val="44"/>
          <w:szCs w:val="44"/>
          <w:highlight w:val="none"/>
        </w:rPr>
      </w:pPr>
      <w:r>
        <w:rPr>
          <w:rFonts w:hint="eastAsia" w:ascii="宋体" w:hAnsi="宋体" w:eastAsia="宋体" w:cs="宋体"/>
          <w:b/>
          <w:bCs/>
          <w:spacing w:val="9"/>
          <w:sz w:val="44"/>
          <w:szCs w:val="44"/>
          <w:highlight w:val="none"/>
        </w:rPr>
        <w:t>政府采购履约验收书(服务类）</w:t>
      </w:r>
    </w:p>
    <w:tbl>
      <w:tblPr>
        <w:tblStyle w:val="26"/>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701"/>
      </w:tblGrid>
      <w:tr w14:paraId="176CB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4A406DE6">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2BD4ABF9">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0412351F">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14:paraId="02FBBBC5">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4E64F23">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14:paraId="62E50900">
            <w:pPr>
              <w:spacing w:line="360" w:lineRule="exact"/>
              <w:jc w:val="center"/>
              <w:rPr>
                <w:rFonts w:hint="eastAsia" w:ascii="宋体" w:hAnsi="宋体" w:eastAsia="宋体" w:cs="宋体"/>
                <w:sz w:val="18"/>
                <w:szCs w:val="18"/>
                <w:highlight w:val="none"/>
                <w:lang w:bidi="ar"/>
              </w:rPr>
            </w:pPr>
          </w:p>
        </w:tc>
      </w:tr>
      <w:tr w14:paraId="57BEA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37DBCBD3">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685E1CB3">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681E39B4">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14:paraId="15E2FE98">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5A9B854">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14:paraId="098A49C8">
            <w:pPr>
              <w:spacing w:line="360" w:lineRule="exact"/>
              <w:jc w:val="center"/>
              <w:rPr>
                <w:rFonts w:hint="eastAsia" w:ascii="宋体" w:hAnsi="宋体" w:eastAsia="宋体" w:cs="宋体"/>
                <w:sz w:val="18"/>
                <w:szCs w:val="18"/>
                <w:highlight w:val="none"/>
                <w:lang w:bidi="ar"/>
              </w:rPr>
            </w:pPr>
          </w:p>
        </w:tc>
      </w:tr>
      <w:tr w14:paraId="6E67B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654AEF44">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1A46C0DE">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14:paraId="2FC906E9">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528" w:type="dxa"/>
            <w:gridSpan w:val="5"/>
            <w:tcBorders>
              <w:top w:val="single" w:color="000000" w:sz="2" w:space="0"/>
              <w:left w:val="single" w:color="000000" w:sz="2" w:space="0"/>
              <w:bottom w:val="single" w:color="000000" w:sz="2" w:space="0"/>
              <w:right w:val="single" w:color="000000" w:sz="2" w:space="0"/>
            </w:tcBorders>
            <w:vAlign w:val="center"/>
          </w:tcPr>
          <w:p w14:paraId="0362A61A">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共分   期（段），此为第   期（段）验收</w:t>
            </w:r>
          </w:p>
        </w:tc>
      </w:tr>
      <w:tr w14:paraId="3F342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4D868A12">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328F3200">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2811540A">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14:paraId="678E7828">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5BA1C103">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14:paraId="42630FE5">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□自行简易验收</w:t>
            </w:r>
          </w:p>
          <w:p w14:paraId="66865DC9">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□验收小组验收</w:t>
            </w:r>
          </w:p>
          <w:p w14:paraId="3F278FD6">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455B0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14:paraId="1F54E385">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70CBF912">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14:paraId="67A177C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14:paraId="6351F0CD">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A04E1C9">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3E1B8D6">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14:paraId="091F4245">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合同履约时间、 地点、方式</w:t>
            </w:r>
          </w:p>
        </w:tc>
      </w:tr>
      <w:tr w14:paraId="570A4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14:paraId="6C92F201">
            <w:pPr>
              <w:spacing w:line="360" w:lineRule="exact"/>
              <w:jc w:val="center"/>
              <w:rPr>
                <w:rFonts w:hint="eastAsia" w:ascii="宋体" w:hAnsi="宋体" w:eastAsia="宋体" w:cs="宋体"/>
                <w:sz w:val="18"/>
                <w:szCs w:val="18"/>
                <w:highlight w:val="none"/>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65B3C8E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40FAB5B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14:paraId="05DB6872">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7F6D6E2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14:paraId="0EBFD0E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EDD4410">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6015FD21">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28FB97C">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528FE969">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801B4D2">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14:paraId="22139CB9">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282354F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3B355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161EFE06">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专业检测机构情况说明</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50248146">
            <w:pPr>
              <w:spacing w:line="360" w:lineRule="exact"/>
              <w:jc w:val="center"/>
              <w:rPr>
                <w:rFonts w:hint="eastAsia" w:ascii="宋体" w:hAnsi="宋体" w:eastAsia="宋体" w:cs="宋体"/>
                <w:sz w:val="18"/>
                <w:szCs w:val="18"/>
                <w:highlight w:val="none"/>
                <w:lang w:bidi="ar"/>
              </w:rPr>
            </w:pPr>
          </w:p>
        </w:tc>
      </w:tr>
      <w:tr w14:paraId="4FCF9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752D21DD">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4C357F4A">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33749A19">
            <w:pPr>
              <w:spacing w:line="360" w:lineRule="exact"/>
              <w:jc w:val="center"/>
              <w:rPr>
                <w:rFonts w:hint="eastAsia" w:ascii="宋体" w:hAnsi="宋体" w:eastAsia="宋体" w:cs="宋体"/>
                <w:sz w:val="18"/>
                <w:szCs w:val="18"/>
                <w:highlight w:val="none"/>
                <w:lang w:bidi="ar"/>
              </w:rPr>
            </w:pPr>
          </w:p>
        </w:tc>
      </w:tr>
      <w:tr w14:paraId="3C996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3A6C2A29">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236B3129">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64297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07C0EF4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33E50B41">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31557634">
            <w:pPr>
              <w:spacing w:line="360" w:lineRule="exact"/>
              <w:jc w:val="center"/>
              <w:rPr>
                <w:rFonts w:hint="eastAsia" w:ascii="宋体" w:hAnsi="宋体" w:eastAsia="宋体" w:cs="宋体"/>
                <w:sz w:val="18"/>
                <w:szCs w:val="18"/>
                <w:highlight w:val="none"/>
                <w:lang w:bidi="ar"/>
              </w:rPr>
            </w:pPr>
          </w:p>
        </w:tc>
      </w:tr>
      <w:tr w14:paraId="36C97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5D6CB312">
            <w:pPr>
              <w:spacing w:line="5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14:paraId="41B25FEC">
            <w:pPr>
              <w:spacing w:line="5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3373A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14:paraId="0A9F5E6B">
            <w:pPr>
              <w:spacing w:line="380" w:lineRule="exact"/>
              <w:jc w:val="left"/>
              <w:rPr>
                <w:rFonts w:hint="eastAsia" w:ascii="宋体" w:hAnsi="宋体" w:eastAsia="宋体" w:cs="宋体"/>
                <w:sz w:val="18"/>
                <w:szCs w:val="18"/>
                <w:highlight w:val="none"/>
                <w:lang w:bidi="ar"/>
              </w:rPr>
            </w:pPr>
          </w:p>
          <w:p w14:paraId="4C22D3D9">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14:paraId="269FE842">
            <w:pPr>
              <w:spacing w:line="380" w:lineRule="exact"/>
              <w:jc w:val="left"/>
              <w:rPr>
                <w:rFonts w:hint="eastAsia" w:ascii="宋体" w:hAnsi="宋体" w:eastAsia="宋体" w:cs="宋体"/>
                <w:sz w:val="18"/>
                <w:szCs w:val="18"/>
                <w:highlight w:val="none"/>
                <w:lang w:bidi="ar"/>
              </w:rPr>
            </w:pPr>
          </w:p>
          <w:p w14:paraId="51212428">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经办人：         负责人：               （采购人公章）</w:t>
            </w:r>
          </w:p>
        </w:tc>
      </w:tr>
      <w:tr w14:paraId="2FEDD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639" w:type="dxa"/>
            <w:gridSpan w:val="8"/>
            <w:tcBorders>
              <w:top w:val="single" w:color="000000" w:sz="2" w:space="0"/>
              <w:left w:val="single" w:color="000000" w:sz="2" w:space="0"/>
              <w:bottom w:val="single" w:color="000000" w:sz="2" w:space="0"/>
              <w:right w:val="single" w:color="000000" w:sz="2" w:space="0"/>
            </w:tcBorders>
          </w:tcPr>
          <w:p w14:paraId="4A204F8A">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供应商确认：</w:t>
            </w:r>
          </w:p>
          <w:p w14:paraId="6F73AE8C">
            <w:pPr>
              <w:spacing w:line="380" w:lineRule="exact"/>
              <w:jc w:val="left"/>
              <w:rPr>
                <w:rFonts w:hint="eastAsia" w:ascii="宋体" w:hAnsi="宋体" w:eastAsia="宋体" w:cs="宋体"/>
                <w:sz w:val="18"/>
                <w:szCs w:val="18"/>
                <w:highlight w:val="none"/>
                <w:lang w:bidi="ar"/>
              </w:rPr>
            </w:pPr>
          </w:p>
          <w:p w14:paraId="6CF4F280">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（单位公章或授权代表签字）</w:t>
            </w:r>
          </w:p>
        </w:tc>
      </w:tr>
    </w:tbl>
    <w:p w14:paraId="7F8454A5">
      <w:pPr>
        <w:pStyle w:val="8"/>
        <w:rPr>
          <w:rFonts w:hint="eastAsia" w:ascii="宋体" w:hAnsi="宋体" w:eastAsia="宋体" w:cs="宋体"/>
          <w:highlight w:val="none"/>
        </w:rPr>
      </w:pPr>
    </w:p>
    <w:p w14:paraId="39A7CEF3">
      <w:pPr>
        <w:spacing w:line="600" w:lineRule="exact"/>
        <w:jc w:val="center"/>
        <w:rPr>
          <w:rFonts w:hint="eastAsia" w:ascii="宋体" w:hAnsi="宋体" w:eastAsia="宋体" w:cs="宋体"/>
          <w:b/>
          <w:sz w:val="24"/>
          <w:szCs w:val="24"/>
          <w:highlight w:val="none"/>
        </w:rPr>
      </w:pPr>
    </w:p>
    <w:p w14:paraId="6A093310">
      <w:pPr>
        <w:pStyle w:val="9"/>
        <w:rPr>
          <w:rFonts w:hint="eastAsia" w:ascii="宋体" w:hAnsi="宋体" w:eastAsia="宋体" w:cs="宋体"/>
          <w:b/>
          <w:sz w:val="24"/>
          <w:szCs w:val="24"/>
          <w:highlight w:val="none"/>
        </w:rPr>
      </w:pPr>
    </w:p>
    <w:p w14:paraId="5F8A2CDD">
      <w:pPr>
        <w:pStyle w:val="9"/>
        <w:rPr>
          <w:rFonts w:hint="eastAsia" w:ascii="宋体" w:hAnsi="宋体" w:eastAsia="宋体" w:cs="宋体"/>
          <w:b/>
          <w:sz w:val="24"/>
          <w:szCs w:val="24"/>
          <w:highlight w:val="none"/>
        </w:rPr>
      </w:pPr>
    </w:p>
    <w:p w14:paraId="3BF1A717">
      <w:pPr>
        <w:pStyle w:val="9"/>
        <w:rPr>
          <w:rFonts w:hint="eastAsia" w:ascii="宋体" w:hAnsi="宋体" w:eastAsia="宋体" w:cs="宋体"/>
          <w:b/>
          <w:sz w:val="24"/>
          <w:szCs w:val="24"/>
          <w:highlight w:val="none"/>
          <w:lang w:eastAsia="zh-CN"/>
        </w:rPr>
      </w:pPr>
    </w:p>
    <w:p w14:paraId="13396976">
      <w:pPr>
        <w:pStyle w:val="9"/>
        <w:rPr>
          <w:rFonts w:hint="eastAsia" w:ascii="宋体" w:hAnsi="宋体" w:eastAsia="宋体" w:cs="宋体"/>
          <w:b/>
          <w:sz w:val="24"/>
          <w:szCs w:val="24"/>
          <w:highlight w:val="none"/>
        </w:rPr>
      </w:pPr>
    </w:p>
    <w:p w14:paraId="23CF6381">
      <w:pPr>
        <w:pStyle w:val="9"/>
        <w:rPr>
          <w:rFonts w:hint="eastAsia" w:ascii="宋体" w:hAnsi="宋体" w:eastAsia="宋体" w:cs="宋体"/>
          <w:b/>
          <w:sz w:val="24"/>
          <w:szCs w:val="24"/>
          <w:highlight w:val="none"/>
        </w:rPr>
      </w:pPr>
    </w:p>
    <w:tbl>
      <w:tblPr>
        <w:tblStyle w:val="2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025"/>
        <w:gridCol w:w="756"/>
        <w:gridCol w:w="4026"/>
        <w:gridCol w:w="764"/>
      </w:tblGrid>
      <w:tr w14:paraId="65F3F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58A60EB9">
            <w:pPr>
              <w:keepNext w:val="0"/>
              <w:keepLines w:val="0"/>
              <w:widowControl/>
              <w:suppressLineNumbers w:val="0"/>
              <w:jc w:val="center"/>
              <w:textAlignment w:val="center"/>
              <w:rPr>
                <w:rFonts w:hint="eastAsia" w:ascii="宋体" w:hAnsi="宋体" w:eastAsia="宋体" w:cs="宋体"/>
                <w:i w:val="0"/>
                <w:iCs w:val="0"/>
                <w:color w:val="000000"/>
                <w:sz w:val="40"/>
                <w:szCs w:val="40"/>
                <w:highlight w:val="none"/>
                <w:u w:val="none"/>
              </w:rPr>
            </w:pPr>
            <w:r>
              <w:rPr>
                <w:rFonts w:hint="eastAsia" w:ascii="宋体" w:hAnsi="宋体" w:eastAsia="宋体" w:cs="宋体"/>
                <w:i w:val="0"/>
                <w:iCs w:val="0"/>
                <w:color w:val="000000"/>
                <w:kern w:val="0"/>
                <w:sz w:val="40"/>
                <w:szCs w:val="40"/>
                <w:highlight w:val="none"/>
                <w:u w:val="none"/>
                <w:lang w:val="en-US" w:eastAsia="zh-CN" w:bidi="ar"/>
              </w:rPr>
              <w:t>政府采购履约验收通知单（参考样本）</w:t>
            </w:r>
          </w:p>
        </w:tc>
      </w:tr>
      <w:tr w14:paraId="4867E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03" w:type="pct"/>
            <w:tcBorders>
              <w:top w:val="nil"/>
              <w:left w:val="nil"/>
              <w:bottom w:val="nil"/>
              <w:right w:val="nil"/>
            </w:tcBorders>
            <w:shd w:val="clear" w:color="auto" w:fill="auto"/>
            <w:noWrap/>
            <w:vAlign w:val="center"/>
          </w:tcPr>
          <w:p w14:paraId="01C9705B">
            <w:pPr>
              <w:keepNext w:val="0"/>
              <w:keepLines w:val="0"/>
              <w:widowControl/>
              <w:suppressLineNumbers w:val="0"/>
              <w:jc w:val="left"/>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供应商：</w:t>
            </w:r>
          </w:p>
        </w:tc>
        <w:tc>
          <w:tcPr>
            <w:tcW w:w="395" w:type="pct"/>
            <w:tcBorders>
              <w:top w:val="nil"/>
              <w:left w:val="nil"/>
              <w:bottom w:val="nil"/>
              <w:right w:val="nil"/>
            </w:tcBorders>
            <w:shd w:val="clear" w:color="auto" w:fill="auto"/>
            <w:noWrap/>
            <w:vAlign w:val="center"/>
          </w:tcPr>
          <w:p w14:paraId="6EE08300">
            <w:pPr>
              <w:jc w:val="center"/>
              <w:rPr>
                <w:rFonts w:hint="eastAsia" w:ascii="宋体" w:hAnsi="宋体" w:eastAsia="宋体" w:cs="宋体"/>
                <w:b/>
                <w:bCs/>
                <w:i w:val="0"/>
                <w:iCs w:val="0"/>
                <w:color w:val="000000"/>
                <w:sz w:val="24"/>
                <w:szCs w:val="24"/>
                <w:highlight w:val="none"/>
                <w:u w:val="none"/>
              </w:rPr>
            </w:pPr>
          </w:p>
        </w:tc>
        <w:tc>
          <w:tcPr>
            <w:tcW w:w="2103" w:type="pct"/>
            <w:tcBorders>
              <w:top w:val="nil"/>
              <w:left w:val="nil"/>
              <w:bottom w:val="nil"/>
              <w:right w:val="nil"/>
            </w:tcBorders>
            <w:shd w:val="clear" w:color="auto" w:fill="auto"/>
            <w:noWrap/>
            <w:vAlign w:val="center"/>
          </w:tcPr>
          <w:p w14:paraId="3B783CB5">
            <w:pPr>
              <w:jc w:val="center"/>
              <w:rPr>
                <w:rFonts w:hint="eastAsia" w:ascii="宋体" w:hAnsi="宋体" w:eastAsia="宋体" w:cs="宋体"/>
                <w:b/>
                <w:bCs/>
                <w:i w:val="0"/>
                <w:iCs w:val="0"/>
                <w:color w:val="000000"/>
                <w:sz w:val="24"/>
                <w:szCs w:val="24"/>
                <w:highlight w:val="none"/>
                <w:u w:val="none"/>
              </w:rPr>
            </w:pPr>
          </w:p>
        </w:tc>
        <w:tc>
          <w:tcPr>
            <w:tcW w:w="396" w:type="pct"/>
            <w:tcBorders>
              <w:top w:val="nil"/>
              <w:left w:val="nil"/>
              <w:bottom w:val="nil"/>
              <w:right w:val="nil"/>
            </w:tcBorders>
            <w:shd w:val="clear" w:color="auto" w:fill="auto"/>
            <w:noWrap/>
            <w:vAlign w:val="center"/>
          </w:tcPr>
          <w:p w14:paraId="00BD50C7">
            <w:pPr>
              <w:jc w:val="center"/>
              <w:rPr>
                <w:rFonts w:hint="eastAsia" w:ascii="宋体" w:hAnsi="宋体" w:eastAsia="宋体" w:cs="宋体"/>
                <w:b/>
                <w:bCs/>
                <w:i w:val="0"/>
                <w:iCs w:val="0"/>
                <w:color w:val="000000"/>
                <w:sz w:val="24"/>
                <w:szCs w:val="24"/>
                <w:highlight w:val="none"/>
                <w:u w:val="none"/>
              </w:rPr>
            </w:pPr>
          </w:p>
        </w:tc>
      </w:tr>
      <w:tr w14:paraId="50365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A2DE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0A193">
            <w:pPr>
              <w:jc w:val="center"/>
              <w:rPr>
                <w:rFonts w:hint="eastAsia" w:ascii="宋体" w:hAnsi="宋体" w:eastAsia="宋体" w:cs="宋体"/>
                <w:b/>
                <w:bCs/>
                <w:i w:val="0"/>
                <w:iCs w:val="0"/>
                <w:color w:val="000000"/>
                <w:sz w:val="24"/>
                <w:szCs w:val="24"/>
                <w:highlight w:val="none"/>
                <w:u w:val="none"/>
              </w:rPr>
            </w:pPr>
          </w:p>
        </w:tc>
      </w:tr>
      <w:tr w14:paraId="39742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F5BA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231B6">
            <w:pPr>
              <w:jc w:val="center"/>
              <w:rPr>
                <w:rFonts w:hint="eastAsia" w:ascii="宋体" w:hAnsi="宋体" w:eastAsia="宋体" w:cs="宋体"/>
                <w:b/>
                <w:bCs/>
                <w:i w:val="0"/>
                <w:iCs w:val="0"/>
                <w:color w:val="000000"/>
                <w:sz w:val="24"/>
                <w:szCs w:val="24"/>
                <w:highlight w:val="none"/>
                <w:u w:val="none"/>
              </w:rPr>
            </w:pPr>
          </w:p>
        </w:tc>
      </w:tr>
      <w:tr w14:paraId="49133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4F920">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2C21">
            <w:pPr>
              <w:jc w:val="center"/>
              <w:rPr>
                <w:rFonts w:hint="eastAsia" w:ascii="宋体" w:hAnsi="宋体" w:eastAsia="宋体" w:cs="宋体"/>
                <w:b/>
                <w:bCs/>
                <w:i w:val="0"/>
                <w:iCs w:val="0"/>
                <w:color w:val="000000"/>
                <w:sz w:val="24"/>
                <w:szCs w:val="24"/>
                <w:highlight w:val="none"/>
                <w:u w:val="none"/>
              </w:rPr>
            </w:pPr>
          </w:p>
        </w:tc>
      </w:tr>
      <w:tr w14:paraId="2DF10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AE53">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合同编号</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98EBA">
            <w:pPr>
              <w:jc w:val="center"/>
              <w:rPr>
                <w:rFonts w:hint="eastAsia" w:ascii="宋体" w:hAnsi="宋体" w:eastAsia="宋体" w:cs="宋体"/>
                <w:b/>
                <w:bCs/>
                <w:i w:val="0"/>
                <w:iCs w:val="0"/>
                <w:color w:val="000000"/>
                <w:sz w:val="24"/>
                <w:szCs w:val="24"/>
                <w:highlight w:val="none"/>
                <w:u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E46E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合同金额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66792">
            <w:pPr>
              <w:jc w:val="center"/>
              <w:rPr>
                <w:rFonts w:hint="eastAsia" w:ascii="宋体" w:hAnsi="宋体" w:eastAsia="宋体" w:cs="宋体"/>
                <w:b/>
                <w:bCs/>
                <w:i w:val="0"/>
                <w:iCs w:val="0"/>
                <w:color w:val="000000"/>
                <w:sz w:val="24"/>
                <w:szCs w:val="24"/>
                <w:highlight w:val="none"/>
                <w:u w:val="none"/>
              </w:rPr>
            </w:pPr>
          </w:p>
        </w:tc>
      </w:tr>
      <w:tr w14:paraId="5C61F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10DB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验收时间</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69963">
            <w:pPr>
              <w:jc w:val="center"/>
              <w:rPr>
                <w:rFonts w:hint="eastAsia" w:ascii="宋体" w:hAnsi="宋体" w:eastAsia="宋体" w:cs="宋体"/>
                <w:b/>
                <w:bCs/>
                <w:i w:val="0"/>
                <w:iCs w:val="0"/>
                <w:color w:val="000000"/>
                <w:sz w:val="24"/>
                <w:szCs w:val="24"/>
                <w:highlight w:val="none"/>
                <w:u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F8901">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验收地点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5D5E1">
            <w:pPr>
              <w:jc w:val="center"/>
              <w:rPr>
                <w:rFonts w:hint="eastAsia" w:ascii="宋体" w:hAnsi="宋体" w:eastAsia="宋体" w:cs="宋体"/>
                <w:b/>
                <w:bCs/>
                <w:i w:val="0"/>
                <w:iCs w:val="0"/>
                <w:color w:val="000000"/>
                <w:sz w:val="24"/>
                <w:szCs w:val="24"/>
                <w:highlight w:val="none"/>
                <w:u w:val="none"/>
              </w:rPr>
            </w:pPr>
          </w:p>
        </w:tc>
      </w:tr>
      <w:tr w14:paraId="6C00A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BB1D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联系人</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7227">
            <w:pPr>
              <w:jc w:val="center"/>
              <w:rPr>
                <w:rFonts w:hint="eastAsia" w:ascii="宋体" w:hAnsi="宋体" w:eastAsia="宋体" w:cs="宋体"/>
                <w:b/>
                <w:bCs/>
                <w:i w:val="0"/>
                <w:iCs w:val="0"/>
                <w:color w:val="000000"/>
                <w:sz w:val="24"/>
                <w:szCs w:val="24"/>
                <w:highlight w:val="none"/>
                <w:u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DF9BB">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联系电话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C094">
            <w:pPr>
              <w:jc w:val="center"/>
              <w:rPr>
                <w:rFonts w:hint="eastAsia" w:ascii="宋体" w:hAnsi="宋体" w:eastAsia="宋体" w:cs="宋体"/>
                <w:b/>
                <w:bCs/>
                <w:i w:val="0"/>
                <w:iCs w:val="0"/>
                <w:color w:val="000000"/>
                <w:sz w:val="24"/>
                <w:szCs w:val="24"/>
                <w:highlight w:val="none"/>
                <w:u w:val="none"/>
              </w:rPr>
            </w:pPr>
          </w:p>
        </w:tc>
      </w:tr>
      <w:tr w14:paraId="3549F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B4839">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履约验收方案及工作要求</w:t>
            </w:r>
          </w:p>
        </w:tc>
      </w:tr>
      <w:tr w14:paraId="4F783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7045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        单位公章</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         年 月 日</w:t>
            </w:r>
          </w:p>
        </w:tc>
      </w:tr>
      <w:tr w14:paraId="19ED4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15C6C">
            <w:pPr>
              <w:jc w:val="center"/>
              <w:rPr>
                <w:rFonts w:hint="eastAsia" w:ascii="仿宋" w:hAnsi="仿宋" w:eastAsia="仿宋" w:cs="仿宋"/>
                <w:i w:val="0"/>
                <w:iCs w:val="0"/>
                <w:color w:val="000000"/>
                <w:sz w:val="24"/>
                <w:szCs w:val="24"/>
                <w:highlight w:val="none"/>
                <w:u w:val="none"/>
              </w:rPr>
            </w:pPr>
          </w:p>
        </w:tc>
      </w:tr>
      <w:tr w14:paraId="4C92E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BDC9F">
            <w:pPr>
              <w:jc w:val="center"/>
              <w:rPr>
                <w:rFonts w:hint="eastAsia" w:ascii="仿宋" w:hAnsi="仿宋" w:eastAsia="仿宋" w:cs="仿宋"/>
                <w:i w:val="0"/>
                <w:iCs w:val="0"/>
                <w:color w:val="000000"/>
                <w:sz w:val="24"/>
                <w:szCs w:val="24"/>
                <w:highlight w:val="none"/>
                <w:u w:val="none"/>
              </w:rPr>
            </w:pPr>
          </w:p>
        </w:tc>
      </w:tr>
      <w:tr w14:paraId="2EBF4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6B868">
            <w:pPr>
              <w:jc w:val="center"/>
              <w:rPr>
                <w:rFonts w:hint="eastAsia" w:ascii="仿宋" w:hAnsi="仿宋" w:eastAsia="仿宋" w:cs="仿宋"/>
                <w:i w:val="0"/>
                <w:iCs w:val="0"/>
                <w:color w:val="000000"/>
                <w:sz w:val="24"/>
                <w:szCs w:val="24"/>
                <w:highlight w:val="none"/>
                <w:u w:val="none"/>
              </w:rPr>
            </w:pPr>
          </w:p>
        </w:tc>
      </w:tr>
      <w:tr w14:paraId="48BB8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89D96">
            <w:pPr>
              <w:jc w:val="center"/>
              <w:rPr>
                <w:rFonts w:hint="eastAsia" w:ascii="仿宋" w:hAnsi="仿宋" w:eastAsia="仿宋" w:cs="仿宋"/>
                <w:i w:val="0"/>
                <w:iCs w:val="0"/>
                <w:color w:val="000000"/>
                <w:sz w:val="24"/>
                <w:szCs w:val="24"/>
                <w:highlight w:val="none"/>
                <w:u w:val="none"/>
              </w:rPr>
            </w:pPr>
          </w:p>
        </w:tc>
      </w:tr>
      <w:tr w14:paraId="0DD7C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77E9E">
            <w:pPr>
              <w:jc w:val="center"/>
              <w:rPr>
                <w:rFonts w:hint="eastAsia" w:ascii="仿宋" w:hAnsi="仿宋" w:eastAsia="仿宋" w:cs="仿宋"/>
                <w:i w:val="0"/>
                <w:iCs w:val="0"/>
                <w:color w:val="000000"/>
                <w:sz w:val="24"/>
                <w:szCs w:val="24"/>
                <w:highlight w:val="none"/>
                <w:u w:val="none"/>
              </w:rPr>
            </w:pPr>
          </w:p>
        </w:tc>
      </w:tr>
      <w:tr w14:paraId="0E159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05AE4">
            <w:pPr>
              <w:jc w:val="center"/>
              <w:rPr>
                <w:rFonts w:hint="eastAsia" w:ascii="仿宋" w:hAnsi="仿宋" w:eastAsia="仿宋" w:cs="仿宋"/>
                <w:i w:val="0"/>
                <w:iCs w:val="0"/>
                <w:color w:val="000000"/>
                <w:sz w:val="24"/>
                <w:szCs w:val="24"/>
                <w:highlight w:val="none"/>
                <w:u w:val="none"/>
              </w:rPr>
            </w:pPr>
          </w:p>
        </w:tc>
      </w:tr>
      <w:tr w14:paraId="5249B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1D26F7">
            <w:pPr>
              <w:jc w:val="center"/>
              <w:rPr>
                <w:rFonts w:hint="eastAsia" w:ascii="仿宋" w:hAnsi="仿宋" w:eastAsia="仿宋" w:cs="仿宋"/>
                <w:i w:val="0"/>
                <w:iCs w:val="0"/>
                <w:color w:val="000000"/>
                <w:sz w:val="24"/>
                <w:szCs w:val="24"/>
                <w:highlight w:val="none"/>
                <w:u w:val="none"/>
              </w:rPr>
            </w:pPr>
          </w:p>
        </w:tc>
      </w:tr>
      <w:tr w14:paraId="041A0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2DCA7">
            <w:pPr>
              <w:jc w:val="center"/>
              <w:rPr>
                <w:rFonts w:hint="eastAsia" w:ascii="仿宋" w:hAnsi="仿宋" w:eastAsia="仿宋" w:cs="仿宋"/>
                <w:i w:val="0"/>
                <w:iCs w:val="0"/>
                <w:color w:val="000000"/>
                <w:sz w:val="24"/>
                <w:szCs w:val="24"/>
                <w:highlight w:val="none"/>
                <w:u w:val="none"/>
              </w:rPr>
            </w:pPr>
          </w:p>
        </w:tc>
      </w:tr>
      <w:tr w14:paraId="18FA5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4FDB0">
            <w:pPr>
              <w:jc w:val="center"/>
              <w:rPr>
                <w:rFonts w:hint="eastAsia" w:ascii="仿宋" w:hAnsi="仿宋" w:eastAsia="仿宋" w:cs="仿宋"/>
                <w:i w:val="0"/>
                <w:iCs w:val="0"/>
                <w:color w:val="000000"/>
                <w:sz w:val="24"/>
                <w:szCs w:val="24"/>
                <w:highlight w:val="none"/>
                <w:u w:val="none"/>
              </w:rPr>
            </w:pPr>
          </w:p>
        </w:tc>
      </w:tr>
      <w:tr w14:paraId="58681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953F2">
            <w:pPr>
              <w:jc w:val="center"/>
              <w:rPr>
                <w:rFonts w:hint="eastAsia" w:ascii="仿宋" w:hAnsi="仿宋" w:eastAsia="仿宋" w:cs="仿宋"/>
                <w:i w:val="0"/>
                <w:iCs w:val="0"/>
                <w:color w:val="000000"/>
                <w:sz w:val="24"/>
                <w:szCs w:val="24"/>
                <w:highlight w:val="none"/>
                <w:u w:val="none"/>
              </w:rPr>
            </w:pPr>
          </w:p>
        </w:tc>
      </w:tr>
    </w:tbl>
    <w:p w14:paraId="34AF80CC">
      <w:pPr>
        <w:spacing w:line="570" w:lineRule="exact"/>
        <w:jc w:val="center"/>
        <w:rPr>
          <w:rFonts w:hint="eastAsia" w:ascii="仿宋" w:hAnsi="仿宋" w:eastAsia="仿宋" w:cs="仿宋"/>
          <w:sz w:val="44"/>
          <w:szCs w:val="44"/>
          <w:highlight w:val="none"/>
        </w:rPr>
      </w:pPr>
    </w:p>
    <w:p w14:paraId="213F67A9">
      <w:pPr>
        <w:spacing w:line="600" w:lineRule="exact"/>
        <w:jc w:val="center"/>
        <w:rPr>
          <w:rFonts w:hint="eastAsia" w:ascii="Futura Lt" w:hAnsi="Futura Lt" w:eastAsia="宋体" w:cs="Futura Lt"/>
          <w:b/>
          <w:sz w:val="36"/>
          <w:szCs w:val="36"/>
          <w:highlight w:val="none"/>
        </w:rPr>
      </w:pPr>
    </w:p>
    <w:p w14:paraId="31DFFE8A">
      <w:pPr>
        <w:spacing w:line="600" w:lineRule="exact"/>
        <w:jc w:val="center"/>
        <w:rPr>
          <w:rFonts w:ascii="Futura Lt" w:hAnsi="Futura Lt" w:eastAsia="宋体" w:cs="Futura Lt"/>
          <w:b/>
          <w:sz w:val="36"/>
          <w:szCs w:val="36"/>
          <w:highlight w:val="none"/>
        </w:rPr>
      </w:pPr>
      <w:r>
        <w:rPr>
          <w:rFonts w:hint="eastAsia" w:ascii="Futura Lt" w:hAnsi="Futura Lt" w:eastAsia="宋体" w:cs="Futura Lt"/>
          <w:b/>
          <w:sz w:val="36"/>
          <w:szCs w:val="36"/>
          <w:highlight w:val="none"/>
        </w:rPr>
        <w:t>第四部分 单一来源采购程序</w:t>
      </w:r>
    </w:p>
    <w:p w14:paraId="2647314F">
      <w:pPr>
        <w:spacing w:after="200" w:line="500" w:lineRule="exact"/>
        <w:rPr>
          <w:rFonts w:ascii="Arial" w:hAnsi="Arial" w:eastAsia="Arial" w:cs="Times New Roman"/>
          <w:sz w:val="24"/>
          <w:szCs w:val="20"/>
          <w:highlight w:val="none"/>
        </w:rPr>
      </w:pPr>
    </w:p>
    <w:p w14:paraId="7A9C299F">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一、向单一来源采购响应单位发出邀请书；</w:t>
      </w:r>
    </w:p>
    <w:p w14:paraId="5B52509D">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二、单一来源采购响应单位按要求制作并上传响应响应文件；</w:t>
      </w:r>
    </w:p>
    <w:p w14:paraId="0E317ADE">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三、根据采购文件的要求，由评审小组对单一来源采购响应单位的响应文件进行审查，确定其是否满足采购文件的要求；</w:t>
      </w:r>
    </w:p>
    <w:p w14:paraId="3817FF42">
      <w:pPr>
        <w:widowControl/>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kern w:val="0"/>
          <w:sz w:val="28"/>
          <w:szCs w:val="28"/>
          <w:highlight w:val="none"/>
        </w:rPr>
        <w:t>最终承诺及报价”</w:t>
      </w:r>
      <w:r>
        <w:rPr>
          <w:rFonts w:hint="eastAsia" w:ascii="宋体" w:hAnsi="宋体" w:eastAsia="Arial" w:cs="Times New Roman"/>
          <w:kern w:val="0"/>
          <w:sz w:val="28"/>
          <w:szCs w:val="28"/>
          <w:highlight w:val="none"/>
        </w:rPr>
        <w:t>为最终报价。</w:t>
      </w:r>
    </w:p>
    <w:p w14:paraId="5E5A0AB5">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五、由评审小组根据成交原则，确定成交供应商；</w:t>
      </w:r>
    </w:p>
    <w:p w14:paraId="20E6E353">
      <w:pPr>
        <w:tabs>
          <w:tab w:val="left" w:pos="5250"/>
        </w:tabs>
        <w:adjustRightInd w:val="0"/>
        <w:snapToGrid w:val="0"/>
        <w:spacing w:line="580" w:lineRule="exact"/>
        <w:ind w:firstLine="560" w:firstLineChars="200"/>
        <w:rPr>
          <w:rFonts w:ascii="宋体" w:hAnsi="宋体" w:eastAsia="Arial" w:cs="Times New Roman"/>
          <w:sz w:val="28"/>
          <w:szCs w:val="28"/>
          <w:highlight w:val="none"/>
        </w:rPr>
      </w:pPr>
      <w:r>
        <w:rPr>
          <w:rFonts w:hint="eastAsia" w:ascii="宋体" w:hAnsi="宋体" w:eastAsia="Arial" w:cs="Times New Roman"/>
          <w:sz w:val="28"/>
          <w:szCs w:val="28"/>
          <w:highlight w:val="none"/>
        </w:rPr>
        <w:t>六、成交供应商和采购单位签订合同。</w:t>
      </w:r>
    </w:p>
    <w:p w14:paraId="2FF6E5FA">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宋体" w:cs="宋体"/>
          <w:b/>
          <w:kern w:val="0"/>
          <w:sz w:val="44"/>
          <w:highlight w:val="none"/>
        </w:rPr>
      </w:pPr>
    </w:p>
    <w:p w14:paraId="4BE16EAE">
      <w:pPr>
        <w:widowControl/>
        <w:spacing w:after="200" w:line="276" w:lineRule="auto"/>
        <w:jc w:val="left"/>
        <w:rPr>
          <w:rFonts w:ascii="宋体" w:hAnsi="宋体" w:eastAsia="宋体" w:cs="宋体"/>
          <w:b/>
          <w:kern w:val="0"/>
          <w:sz w:val="44"/>
          <w:highlight w:val="none"/>
        </w:rPr>
      </w:pPr>
      <w:r>
        <w:rPr>
          <w:rFonts w:ascii="宋体" w:hAnsi="宋体" w:eastAsia="宋体" w:cs="宋体"/>
          <w:b/>
          <w:kern w:val="0"/>
          <w:sz w:val="44"/>
          <w:highlight w:val="none"/>
        </w:rPr>
        <w:br w:type="page"/>
      </w:r>
    </w:p>
    <w:p w14:paraId="0B4F8DF7">
      <w:pPr>
        <w:numPr>
          <w:ilvl w:val="0"/>
          <w:numId w:val="9"/>
        </w:numPr>
        <w:spacing w:line="600" w:lineRule="exact"/>
        <w:jc w:val="center"/>
        <w:rPr>
          <w:rFonts w:ascii="宋体" w:hAnsi="宋体" w:eastAsia="宋体" w:cs="宋体"/>
          <w:b/>
          <w:sz w:val="44"/>
          <w:szCs w:val="21"/>
          <w:highlight w:val="none"/>
        </w:rPr>
      </w:pPr>
      <w:r>
        <w:rPr>
          <w:rFonts w:hint="eastAsia" w:ascii="宋体" w:hAnsi="宋体" w:eastAsia="宋体" w:cs="宋体"/>
          <w:b/>
          <w:sz w:val="44"/>
          <w:szCs w:val="21"/>
          <w:highlight w:val="none"/>
        </w:rPr>
        <w:t>成交原则</w:t>
      </w:r>
    </w:p>
    <w:p w14:paraId="4F8DE195">
      <w:pPr>
        <w:spacing w:line="600" w:lineRule="exact"/>
        <w:rPr>
          <w:rFonts w:ascii="宋体" w:hAnsi="宋体" w:eastAsia="宋体" w:cs="宋体"/>
          <w:b/>
          <w:sz w:val="44"/>
          <w:szCs w:val="21"/>
          <w:highlight w:val="none"/>
        </w:rPr>
      </w:pPr>
    </w:p>
    <w:p w14:paraId="62BD7ED7">
      <w:pPr>
        <w:widowControl/>
        <w:pBdr>
          <w:top w:val="none" w:color="000000" w:sz="0" w:space="0"/>
          <w:left w:val="none" w:color="000000" w:sz="0" w:space="0"/>
          <w:bottom w:val="none" w:color="000000" w:sz="0" w:space="0"/>
          <w:right w:val="none" w:color="000000" w:sz="0" w:space="0"/>
        </w:pBdr>
        <w:spacing w:line="580" w:lineRule="exact"/>
        <w:ind w:firstLine="482"/>
        <w:rPr>
          <w:rFonts w:ascii="宋体" w:hAnsi="宋体" w:eastAsia="宋体" w:cs="宋体"/>
          <w:kern w:val="0"/>
          <w:sz w:val="28"/>
          <w:szCs w:val="28"/>
          <w:highlight w:val="none"/>
        </w:rPr>
      </w:pPr>
      <w:r>
        <w:rPr>
          <w:rFonts w:hint="eastAsia" w:ascii="宋体" w:hAnsi="宋体" w:eastAsia="宋体" w:cs="宋体"/>
          <w:kern w:val="0"/>
          <w:sz w:val="28"/>
          <w:szCs w:val="28"/>
          <w:highlight w:val="none"/>
        </w:rPr>
        <w:t>一、本次单一来源采购成交原则，适用于本次采购活动。</w:t>
      </w:r>
    </w:p>
    <w:p w14:paraId="039C8D1C">
      <w:pPr>
        <w:widowControl/>
        <w:pBdr>
          <w:top w:val="none" w:color="000000" w:sz="0" w:space="0"/>
          <w:left w:val="none" w:color="000000" w:sz="0" w:space="0"/>
          <w:bottom w:val="none" w:color="000000" w:sz="0" w:space="0"/>
          <w:right w:val="none" w:color="000000" w:sz="0" w:space="0"/>
        </w:pBdr>
        <w:spacing w:line="580" w:lineRule="exact"/>
        <w:ind w:firstLine="482"/>
        <w:rPr>
          <w:rFonts w:ascii="宋体" w:hAnsi="宋体" w:eastAsia="宋体" w:cs="宋体"/>
          <w:kern w:val="0"/>
          <w:sz w:val="28"/>
          <w:szCs w:val="28"/>
          <w:highlight w:val="none"/>
        </w:rPr>
      </w:pPr>
      <w:r>
        <w:rPr>
          <w:rFonts w:hint="eastAsia" w:ascii="宋体" w:hAnsi="宋体" w:eastAsia="宋体" w:cs="宋体"/>
          <w:kern w:val="0"/>
          <w:sz w:val="28"/>
          <w:szCs w:val="28"/>
          <w:highlight w:val="none"/>
        </w:rPr>
        <w:t>二、具备履约能力，能提供最佳售后服务。</w:t>
      </w:r>
    </w:p>
    <w:p w14:paraId="377B0337">
      <w:pPr>
        <w:widowControl/>
        <w:pBdr>
          <w:top w:val="none" w:color="000000" w:sz="0" w:space="0"/>
          <w:left w:val="none" w:color="000000" w:sz="0" w:space="0"/>
          <w:bottom w:val="none" w:color="000000" w:sz="0" w:space="0"/>
          <w:right w:val="none" w:color="000000" w:sz="0" w:space="0"/>
        </w:pBdr>
        <w:spacing w:line="580" w:lineRule="exact"/>
        <w:ind w:firstLine="482"/>
        <w:rPr>
          <w:rFonts w:ascii="宋体" w:hAnsi="宋体" w:eastAsia="宋体" w:cs="宋体"/>
          <w:kern w:val="0"/>
          <w:sz w:val="28"/>
          <w:szCs w:val="28"/>
          <w:highlight w:val="none"/>
        </w:rPr>
      </w:pPr>
      <w:r>
        <w:rPr>
          <w:rFonts w:hint="eastAsia" w:ascii="宋体" w:hAnsi="宋体" w:eastAsia="宋体" w:cs="宋体"/>
          <w:kern w:val="0"/>
          <w:sz w:val="28"/>
          <w:szCs w:val="28"/>
          <w:highlight w:val="none"/>
        </w:rPr>
        <w:t>三、成交原则：采购小组根据单一来源采购响应单位提供的单一来源采购响应文件对服务质量、技术、售后服务及价格等方面的商谈进行评审，且单一来源采购响应单位的报价不超过采购单位预算或最高限价。</w:t>
      </w:r>
    </w:p>
    <w:p w14:paraId="4023AB80">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Times New Roman" w:hAnsi="Times New Roman" w:eastAsia="Times New Roman" w:cs="Times New Roman"/>
          <w:kern w:val="0"/>
          <w:highlight w:val="none"/>
        </w:rPr>
        <w:t> </w:t>
      </w:r>
    </w:p>
    <w:p w14:paraId="41FA1A78">
      <w:pPr>
        <w:widowControl/>
        <w:pBdr>
          <w:top w:val="none" w:color="000000" w:sz="0" w:space="0"/>
          <w:left w:val="none" w:color="000000" w:sz="0" w:space="0"/>
          <w:bottom w:val="none" w:color="000000" w:sz="0" w:space="0"/>
          <w:right w:val="none" w:color="000000" w:sz="0" w:space="0"/>
        </w:pBdr>
        <w:spacing w:line="460" w:lineRule="atLeast"/>
        <w:rPr>
          <w:rFonts w:ascii="Arial" w:hAnsi="Arial" w:eastAsia="Arial" w:cs="Times New Roman"/>
          <w:kern w:val="0"/>
          <w:sz w:val="22"/>
          <w:highlight w:val="none"/>
        </w:rPr>
      </w:pPr>
      <w:r>
        <w:rPr>
          <w:rFonts w:ascii="宋体" w:hAnsi="宋体" w:eastAsia="宋体" w:cs="宋体"/>
          <w:b/>
          <w:kern w:val="0"/>
          <w:sz w:val="24"/>
          <w:highlight w:val="none"/>
        </w:rPr>
        <w:t> </w:t>
      </w:r>
    </w:p>
    <w:p w14:paraId="0CA6E41A">
      <w:pPr>
        <w:widowControl/>
        <w:spacing w:after="200" w:line="276" w:lineRule="auto"/>
        <w:jc w:val="left"/>
        <w:rPr>
          <w:rFonts w:ascii="宋体" w:hAnsi="宋体" w:eastAsia="宋体" w:cs="宋体"/>
          <w:b/>
          <w:kern w:val="0"/>
          <w:sz w:val="44"/>
          <w:highlight w:val="none"/>
        </w:rPr>
      </w:pPr>
      <w:r>
        <w:rPr>
          <w:rFonts w:ascii="宋体" w:hAnsi="宋体" w:eastAsia="宋体" w:cs="宋体"/>
          <w:b/>
          <w:kern w:val="0"/>
          <w:sz w:val="44"/>
          <w:highlight w:val="none"/>
        </w:rPr>
        <w:br w:type="page"/>
      </w:r>
    </w:p>
    <w:p w14:paraId="6FB10DE8">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kern w:val="0"/>
          <w:sz w:val="22"/>
          <w:highlight w:val="none"/>
        </w:rPr>
      </w:pPr>
      <w:r>
        <w:rPr>
          <w:rFonts w:ascii="宋体" w:hAnsi="宋体" w:eastAsia="宋体" w:cs="宋体"/>
          <w:b/>
          <w:kern w:val="0"/>
          <w:sz w:val="44"/>
          <w:highlight w:val="none"/>
        </w:rPr>
        <w:t xml:space="preserve">        第六部分 </w:t>
      </w:r>
      <w:r>
        <w:rPr>
          <w:rFonts w:hint="eastAsia" w:ascii="宋体" w:hAnsi="宋体" w:eastAsia="宋体" w:cs="宋体"/>
          <w:b/>
          <w:kern w:val="0"/>
          <w:sz w:val="44"/>
          <w:highlight w:val="none"/>
        </w:rPr>
        <w:t>合同条款</w:t>
      </w:r>
    </w:p>
    <w:p w14:paraId="01D8AA4A">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采购人（以下称甲方）</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供应商：（以下称乙方）</w:t>
      </w:r>
    </w:p>
    <w:p w14:paraId="2B98F9E1">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地址：</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地址：</w:t>
      </w:r>
    </w:p>
    <w:p w14:paraId="1FB1291E">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电话：</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电话：</w:t>
      </w:r>
    </w:p>
    <w:p w14:paraId="060C9637">
      <w:pPr>
        <w:widowControl/>
        <w:spacing w:line="460" w:lineRule="atLeast"/>
        <w:ind w:firstLine="480"/>
        <w:jc w:val="left"/>
        <w:rPr>
          <w:rFonts w:ascii="Arial" w:hAnsi="Arial" w:eastAsia="宋体" w:cs="Times New Roman"/>
          <w:kern w:val="0"/>
          <w:sz w:val="22"/>
          <w:highlight w:val="none"/>
        </w:rPr>
      </w:pPr>
      <w:r>
        <w:rPr>
          <w:rFonts w:hint="eastAsia" w:ascii="宋体" w:hAnsi="宋体" w:eastAsia="宋体" w:cs="宋体"/>
          <w:kern w:val="0"/>
          <w:sz w:val="24"/>
          <w:highlight w:val="none"/>
        </w:rPr>
        <w:t>根据《中华人民共和国民法典》、《中华人民共和国政府采购法》等法律法规的规定，甲、乙双方按照苏州市公共资源交易中心太仓分中心组织的关于</w:t>
      </w:r>
      <w:r>
        <w:rPr>
          <w:rFonts w:hint="eastAsia" w:ascii="宋体" w:hAnsi="宋体" w:eastAsia="宋体" w:cs="宋体"/>
          <w:b/>
          <w:bCs/>
          <w:kern w:val="0"/>
          <w:sz w:val="24"/>
          <w:szCs w:val="24"/>
          <w:highlight w:val="none"/>
          <w:u w:val="single"/>
        </w:rPr>
        <w:t xml:space="preserve">                         项目</w:t>
      </w:r>
      <w:r>
        <w:rPr>
          <w:rFonts w:ascii="宋体" w:hAnsi="宋体" w:eastAsia="宋体" w:cs="宋体"/>
          <w:b/>
          <w:bCs/>
          <w:kern w:val="0"/>
          <w:sz w:val="24"/>
          <w:szCs w:val="24"/>
          <w:highlight w:val="none"/>
          <w:u w:val="single"/>
        </w:rPr>
        <w:t xml:space="preserve"> </w:t>
      </w:r>
      <w:r>
        <w:rPr>
          <w:rFonts w:hint="eastAsia" w:ascii="宋体" w:hAnsi="宋体" w:eastAsia="宋体" w:cs="宋体"/>
          <w:kern w:val="0"/>
          <w:sz w:val="24"/>
          <w:highlight w:val="none"/>
        </w:rPr>
        <w:t xml:space="preserve"> （</w:t>
      </w:r>
      <w:r>
        <w:rPr>
          <w:rFonts w:hint="eastAsia" w:ascii="宋体" w:hAnsi="宋体" w:eastAsia="宋体" w:cs="宋体"/>
          <w:b/>
          <w:kern w:val="0"/>
          <w:sz w:val="24"/>
          <w:highlight w:val="none"/>
        </w:rPr>
        <w:t>编号</w:t>
      </w:r>
      <w:r>
        <w:rPr>
          <w:rFonts w:hint="eastAsia" w:ascii="宋体" w:hAnsi="宋体" w:eastAsia="宋体" w:cs="宋体"/>
          <w:b/>
          <w:bCs/>
          <w:kern w:val="0"/>
          <w:sz w:val="24"/>
          <w:szCs w:val="24"/>
          <w:highlight w:val="none"/>
        </w:rPr>
        <w:t xml:space="preserve"> </w:t>
      </w:r>
      <w:r>
        <w:rPr>
          <w:rFonts w:hint="eastAsia" w:ascii="宋体" w:hAnsi="宋体" w:eastAsia="宋体" w:cs="宋体"/>
          <w:b/>
          <w:bCs/>
          <w:kern w:val="0"/>
          <w:sz w:val="24"/>
          <w:szCs w:val="24"/>
          <w:highlight w:val="none"/>
          <w:lang w:eastAsia="zh-CN"/>
        </w:rPr>
        <w:t>JSZC-320585-JZCG-D2025-0147</w:t>
      </w:r>
      <w:r>
        <w:rPr>
          <w:rFonts w:hint="eastAsia" w:ascii="宋体" w:hAnsi="宋体" w:eastAsia="宋体" w:cs="宋体"/>
          <w:kern w:val="0"/>
          <w:sz w:val="24"/>
          <w:highlight w:val="none"/>
        </w:rPr>
        <w:t>）的招标结果，签订本合同。</w:t>
      </w:r>
    </w:p>
    <w:p w14:paraId="55983F2F">
      <w:pPr>
        <w:widowControl/>
        <w:spacing w:line="460" w:lineRule="atLeast"/>
        <w:ind w:firstLine="472"/>
        <w:rPr>
          <w:rFonts w:ascii="Arial" w:hAnsi="Arial" w:eastAsia="宋体" w:cs="Times New Roman"/>
          <w:kern w:val="0"/>
          <w:sz w:val="22"/>
          <w:highlight w:val="none"/>
        </w:rPr>
      </w:pPr>
      <w:r>
        <w:rPr>
          <w:rFonts w:hint="eastAsia" w:ascii="宋体" w:hAnsi="宋体" w:eastAsia="宋体" w:cs="宋体"/>
          <w:b/>
          <w:kern w:val="0"/>
          <w:sz w:val="24"/>
          <w:highlight w:val="none"/>
        </w:rPr>
        <w:t>第一条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服务范围</w:t>
      </w:r>
    </w:p>
    <w:p w14:paraId="154CF82B">
      <w:pPr>
        <w:widowControl/>
        <w:spacing w:line="460" w:lineRule="atLeast"/>
        <w:ind w:left="420"/>
        <w:rPr>
          <w:rFonts w:ascii="Arial" w:hAnsi="Arial" w:eastAsia="宋体" w:cs="Times New Roman"/>
          <w:kern w:val="0"/>
          <w:sz w:val="22"/>
          <w:highlight w:val="none"/>
        </w:rPr>
      </w:pPr>
      <w:r>
        <w:rPr>
          <w:rFonts w:ascii="宋体" w:hAnsi="宋体" w:eastAsia="宋体" w:cs="宋体"/>
          <w:kern w:val="0"/>
          <w:sz w:val="24"/>
          <w:highlight w:val="none"/>
        </w:rPr>
        <w:t> </w:t>
      </w:r>
      <w:r>
        <w:rPr>
          <w:rFonts w:hint="eastAsia" w:ascii="宋体" w:hAnsi="宋体" w:eastAsia="宋体" w:cs="宋体"/>
          <w:kern w:val="0"/>
          <w:sz w:val="24"/>
          <w:highlight w:val="none"/>
        </w:rPr>
        <w:t>甲方聘请乙方提供以下服务：</w:t>
      </w:r>
    </w:p>
    <w:p w14:paraId="1768262F">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1</w:t>
      </w:r>
      <w:r>
        <w:rPr>
          <w:rFonts w:hint="eastAsia" w:ascii="宋体" w:hAnsi="宋体" w:eastAsia="宋体" w:cs="宋体"/>
          <w:kern w:val="0"/>
          <w:sz w:val="24"/>
          <w:highlight w:val="none"/>
        </w:rPr>
        <w:t>）本合同项下的服务指：</w:t>
      </w:r>
    </w:p>
    <w:p w14:paraId="6AAE2EE6">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2</w:t>
      </w:r>
      <w:r>
        <w:rPr>
          <w:rFonts w:hint="eastAsia" w:ascii="宋体" w:hAnsi="宋体" w:eastAsia="宋体" w:cs="宋体"/>
          <w:kern w:val="0"/>
          <w:sz w:val="24"/>
          <w:highlight w:val="none"/>
        </w:rPr>
        <w:t>）服务内容：</w:t>
      </w:r>
    </w:p>
    <w:p w14:paraId="677BF0D3">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3</w:t>
      </w:r>
      <w:r>
        <w:rPr>
          <w:rFonts w:hint="eastAsia" w:ascii="宋体" w:hAnsi="宋体" w:eastAsia="宋体" w:cs="宋体"/>
          <w:kern w:val="0"/>
          <w:sz w:val="24"/>
          <w:highlight w:val="none"/>
        </w:rPr>
        <w:t>）服务标准：</w:t>
      </w:r>
    </w:p>
    <w:p w14:paraId="3A304FDC">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4</w:t>
      </w:r>
      <w:r>
        <w:rPr>
          <w:rFonts w:hint="eastAsia" w:ascii="宋体" w:hAnsi="宋体" w:eastAsia="宋体" w:cs="宋体"/>
          <w:kern w:val="0"/>
          <w:sz w:val="24"/>
          <w:highlight w:val="none"/>
        </w:rPr>
        <w:t>）交付时间、地点：甲方指定。</w:t>
      </w:r>
    </w:p>
    <w:p w14:paraId="0D3C6B31">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第二条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组成本合同的有关文件</w:t>
      </w:r>
      <w:r>
        <w:rPr>
          <w:rFonts w:ascii="宋体" w:hAnsi="宋体" w:eastAsia="宋体" w:cs="宋体"/>
          <w:b/>
          <w:kern w:val="0"/>
          <w:sz w:val="24"/>
          <w:highlight w:val="none"/>
        </w:rPr>
        <w:t xml:space="preserve"> </w:t>
      </w:r>
    </w:p>
    <w:p w14:paraId="6C6AE463">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下列与本次采购活动有关的文件及有关附件是本合同不可分割的组成部分，与本合同具有同等法律效力，这些文件包括但不限于：</w:t>
      </w:r>
    </w:p>
    <w:p w14:paraId="7874F056">
      <w:pPr>
        <w:widowControl/>
        <w:numPr>
          <w:ilvl w:val="0"/>
          <w:numId w:val="10"/>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招标采购文件（</w:t>
      </w:r>
      <w:r>
        <w:rPr>
          <w:rFonts w:hint="eastAsia" w:ascii="宋体" w:hAnsi="宋体" w:eastAsia="宋体" w:cs="宋体"/>
          <w:b/>
          <w:kern w:val="0"/>
          <w:sz w:val="24"/>
          <w:highlight w:val="none"/>
        </w:rPr>
        <w:t xml:space="preserve">编号： </w:t>
      </w:r>
      <w:r>
        <w:rPr>
          <w:rFonts w:hint="eastAsia" w:ascii="宋体" w:hAnsi="宋体" w:eastAsia="宋体" w:cs="宋体"/>
          <w:b/>
          <w:kern w:val="0"/>
          <w:sz w:val="24"/>
          <w:highlight w:val="none"/>
          <w:lang w:eastAsia="zh-CN"/>
        </w:rPr>
        <w:t>JSZC-320585-JZCG-D2025-0147</w:t>
      </w:r>
      <w:r>
        <w:rPr>
          <w:rFonts w:hint="eastAsia" w:ascii="宋体" w:hAnsi="宋体" w:eastAsia="宋体" w:cs="宋体"/>
          <w:kern w:val="0"/>
          <w:sz w:val="24"/>
          <w:highlight w:val="none"/>
        </w:rPr>
        <w:t>）</w:t>
      </w:r>
    </w:p>
    <w:p w14:paraId="4B7583BC">
      <w:pPr>
        <w:widowControl/>
        <w:numPr>
          <w:ilvl w:val="0"/>
          <w:numId w:val="10"/>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乙方提供的投标文件和投标报价表；</w:t>
      </w:r>
    </w:p>
    <w:p w14:paraId="6DA3F6E5">
      <w:pPr>
        <w:widowControl/>
        <w:numPr>
          <w:ilvl w:val="0"/>
          <w:numId w:val="10"/>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乙方在投标过程中所作的其他承诺、声明、书面澄清等；</w:t>
      </w:r>
    </w:p>
    <w:p w14:paraId="5C44E61F">
      <w:pPr>
        <w:widowControl/>
        <w:numPr>
          <w:ilvl w:val="0"/>
          <w:numId w:val="10"/>
        </w:numPr>
        <w:spacing w:line="460" w:lineRule="atLeast"/>
        <w:rPr>
          <w:rFonts w:ascii="Arial" w:hAnsi="Arial" w:eastAsia="宋体" w:cs="Times New Roman"/>
          <w:kern w:val="0"/>
          <w:sz w:val="22"/>
          <w:highlight w:val="none"/>
          <w:lang w:eastAsia="en-US"/>
        </w:rPr>
      </w:pPr>
      <w:r>
        <w:rPr>
          <w:rFonts w:hint="eastAsia" w:ascii="宋体" w:hAnsi="宋体" w:eastAsia="宋体" w:cs="宋体"/>
          <w:kern w:val="0"/>
          <w:sz w:val="24"/>
          <w:highlight w:val="none"/>
          <w:lang w:eastAsia="en-US"/>
        </w:rPr>
        <w:t>中标通知书；</w:t>
      </w:r>
    </w:p>
    <w:p w14:paraId="0EDE9943">
      <w:pPr>
        <w:widowControl/>
        <w:numPr>
          <w:ilvl w:val="0"/>
          <w:numId w:val="10"/>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甲乙双方商定的其他文件等。</w:t>
      </w:r>
    </w:p>
    <w:p w14:paraId="0E19C8AB">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第三条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合同总价款</w:t>
      </w:r>
      <w:r>
        <w:rPr>
          <w:rFonts w:ascii="宋体" w:hAnsi="宋体" w:eastAsia="宋体" w:cs="宋体"/>
          <w:b/>
          <w:kern w:val="0"/>
          <w:sz w:val="24"/>
          <w:highlight w:val="none"/>
        </w:rPr>
        <w:t xml:space="preserve"> </w:t>
      </w:r>
    </w:p>
    <w:p w14:paraId="07F71DE5">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合同价格按此次成交价格执行，合同总金额为人民币</w:t>
      </w:r>
      <w:r>
        <w:rPr>
          <w:rFonts w:ascii="宋体" w:hAnsi="宋体" w:eastAsia="宋体" w:cs="宋体"/>
          <w:kern w:val="0"/>
          <w:sz w:val="24"/>
          <w:highlight w:val="none"/>
        </w:rPr>
        <w:t>___________</w:t>
      </w:r>
      <w:r>
        <w:rPr>
          <w:rFonts w:hint="eastAsia" w:ascii="宋体" w:hAnsi="宋体" w:eastAsia="宋体" w:cs="宋体"/>
          <w:kern w:val="0"/>
          <w:sz w:val="24"/>
          <w:highlight w:val="none"/>
        </w:rPr>
        <w:t>（大写）人民币，小写：（￥：）元整。</w:t>
      </w:r>
    </w:p>
    <w:p w14:paraId="472DF159">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4C9A50A0">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除非合同条款中另有规定，本合同执行期间合同总价款不变。</w:t>
      </w:r>
    </w:p>
    <w:p w14:paraId="3B03A30A">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第四条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合同款支付</w:t>
      </w:r>
    </w:p>
    <w:p w14:paraId="42619800">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、本合同项下所有款项均以人民币支付。</w:t>
      </w:r>
    </w:p>
    <w:p w14:paraId="5A8B0511">
      <w:pPr>
        <w:widowControl/>
        <w:spacing w:line="460" w:lineRule="atLeast"/>
        <w:ind w:firstLine="480"/>
        <w:rPr>
          <w:rFonts w:ascii="宋体" w:hAnsi="宋体" w:eastAsia="宋体" w:cs="宋体"/>
          <w:kern w:val="0"/>
          <w:sz w:val="24"/>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、本合同项下的采购资金由甲方自行支付，乙方向甲方开具发票。</w:t>
      </w:r>
    </w:p>
    <w:p w14:paraId="757CB7D0">
      <w:pPr>
        <w:widowControl/>
        <w:spacing w:line="460" w:lineRule="atLeast"/>
        <w:ind w:firstLine="480"/>
        <w:rPr>
          <w:rFonts w:ascii="宋体" w:hAnsi="宋体" w:eastAsia="宋体" w:cs="宋体"/>
          <w:kern w:val="0"/>
          <w:sz w:val="24"/>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、根据现行税法对乙方征收的与本合同有关的一切税费均由乙方承担。</w:t>
      </w:r>
    </w:p>
    <w:p w14:paraId="3D6BE612">
      <w:pPr>
        <w:widowControl/>
        <w:spacing w:line="460" w:lineRule="atLeast"/>
        <w:ind w:firstLine="480"/>
        <w:rPr>
          <w:rFonts w:ascii="宋体" w:hAnsi="宋体" w:eastAsia="宋体" w:cs="宋体"/>
          <w:kern w:val="0"/>
          <w:sz w:val="24"/>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、付款步骤、方式：</w:t>
      </w:r>
    </w:p>
    <w:p w14:paraId="5E7EA3C6">
      <w:pPr>
        <w:spacing w:after="200" w:line="276" w:lineRule="auto"/>
        <w:rPr>
          <w:rFonts w:ascii="楷体_GB2312" w:hAnsi="Arial" w:eastAsia="楷体_GB2312" w:cs="Times New Roman"/>
          <w:sz w:val="28"/>
          <w:highlight w:val="none"/>
        </w:rPr>
      </w:pPr>
    </w:p>
    <w:p w14:paraId="667B8109">
      <w:pPr>
        <w:widowControl/>
        <w:spacing w:line="85"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第五条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服务质量、成果要求</w:t>
      </w:r>
    </w:p>
    <w:p w14:paraId="239190B2">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、项目完成后甲方将组织专业人员进行项目的验收工作，如存在问题，乙方应进行改进，直至验收合格为止；</w:t>
      </w:r>
    </w:p>
    <w:p w14:paraId="2C0A54EA">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、验收标准</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按采购文件要求、乙方的投标承诺或国家相关标准。</w:t>
      </w:r>
    </w:p>
    <w:p w14:paraId="05EFAE06">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第六条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甲、乙双方权利义务</w:t>
      </w:r>
    </w:p>
    <w:p w14:paraId="5FD10513">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、甲方应当为保证项目服务的完成，给予乙方积极支持，为乙方提供项目实施的必要条件；</w:t>
      </w:r>
    </w:p>
    <w:p w14:paraId="0DF95CE1">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、甲方应当按照本合同约定按时支付合同金额。</w:t>
      </w:r>
    </w:p>
    <w:p w14:paraId="04279CF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、乙方提交的服务成果未经甲方书面许可，不得向任何第三方泄露。</w:t>
      </w:r>
    </w:p>
    <w:p w14:paraId="0045A487">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乙方提供必要的技术培训，协助甲方完成其他需要中标单位配合的服务。</w:t>
      </w:r>
    </w:p>
    <w:p w14:paraId="248958A7">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5</w:t>
      </w:r>
      <w:r>
        <w:rPr>
          <w:rFonts w:hint="eastAsia" w:ascii="宋体" w:hAnsi="宋体" w:eastAsia="宋体" w:cs="宋体"/>
          <w:kern w:val="0"/>
          <w:sz w:val="24"/>
          <w:highlight w:val="none"/>
        </w:rPr>
        <w:t>、乙方根据国家标准、行业标准和规范要求及标书规定的服务质量标准和有关要求，保质保量地完成服务工作。</w:t>
      </w:r>
    </w:p>
    <w:p w14:paraId="379480A1">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第七条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知识产权</w:t>
      </w:r>
    </w:p>
    <w:p w14:paraId="0C3B02A6">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、在合同履行过程中，由甲方向乙方提供的资料－－包括但不限于程序、文件、报告、说明、图表等均归甲方所有。</w:t>
      </w:r>
    </w:p>
    <w:p w14:paraId="54B61D3C">
      <w:pPr>
        <w:widowControl/>
        <w:spacing w:line="460" w:lineRule="atLeast"/>
        <w:ind w:firstLine="480" w:firstLineChars="20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、在合同履行完毕后，乙方依据本合同及本合同附件向甲方提供的任何程序、文件、报告、说明、图表等的知识产权均归甲方所有（但属于乙方或第三方的除外），乙方不得以任何形式使用或向第三方透露。</w:t>
      </w:r>
    </w:p>
    <w:p w14:paraId="4180C2B5">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第八条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保密条款</w:t>
      </w:r>
    </w:p>
    <w:p w14:paraId="1FFA93C6">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71A8154">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第九条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风险责任</w:t>
      </w:r>
    </w:p>
    <w:p w14:paraId="06D1084A">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7654F5E">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履约保证金（本项目不涉及）</w:t>
      </w:r>
    </w:p>
    <w:p w14:paraId="79E15706">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、乙方应按招标文件的约定要求提供相应的履约保证金。</w:t>
      </w:r>
    </w:p>
    <w:p w14:paraId="38D1774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、履约保证金的有效期为合同生效之日起至合同主要义务履行完毕止。</w:t>
      </w:r>
    </w:p>
    <w:p w14:paraId="54EE8FE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、如乙方未能履行合同规定的义务，或因乙方责任应由乙方承担的赔偿未完成，甲方有权从履约保证金中取得补偿。</w:t>
      </w:r>
    </w:p>
    <w:p w14:paraId="54FB8DE4">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、履约保证金待合同主要义务全部履行完毕后全额退回（不计息）。</w:t>
      </w:r>
    </w:p>
    <w:p w14:paraId="43A2E7E7">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第十一条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合同的变更和终止</w:t>
      </w:r>
    </w:p>
    <w:p w14:paraId="334632E2">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、本合同一经签订，甲乙双方不得擅自变更、中止或终止合同。</w:t>
      </w:r>
    </w:p>
    <w:p w14:paraId="3929FA51">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、除发生法律规定的不能预见、不能避免并不能克服的客观情况外，甲乙双方不得放弃或拒绝履行合同。乙方放弃或拒绝履行合同，保证金不予退还。</w:t>
      </w:r>
    </w:p>
    <w:p w14:paraId="2368D922">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第十二条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合同的转让</w:t>
      </w:r>
    </w:p>
    <w:p w14:paraId="5358807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、乙方不得擅自部分或全部转让其应履行的合同义务。</w:t>
      </w:r>
      <w:r>
        <w:rPr>
          <w:rFonts w:ascii="宋体" w:hAnsi="宋体" w:eastAsia="宋体" w:cs="宋体"/>
          <w:kern w:val="0"/>
          <w:sz w:val="24"/>
          <w:highlight w:val="none"/>
        </w:rPr>
        <w:t xml:space="preserve">    </w:t>
      </w:r>
    </w:p>
    <w:p w14:paraId="61BE701E">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、乙方在履行合同过程中，不得将服务项目委托给第三方。</w:t>
      </w:r>
    </w:p>
    <w:p w14:paraId="5A7E435F">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第十三条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违约责任</w:t>
      </w:r>
    </w:p>
    <w:p w14:paraId="33050A18">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、在合同生效后，甲方无理由要求终止服务的，应向乙方偿付合同总价款的</w:t>
      </w:r>
      <w:r>
        <w:rPr>
          <w:rFonts w:ascii="宋体" w:hAnsi="宋体" w:eastAsia="宋体" w:cs="宋体"/>
          <w:kern w:val="0"/>
          <w:sz w:val="24"/>
          <w:highlight w:val="none"/>
        </w:rPr>
        <w:t>5%</w:t>
      </w:r>
      <w:r>
        <w:rPr>
          <w:rFonts w:hint="eastAsia" w:ascii="宋体" w:hAnsi="宋体" w:eastAsia="宋体" w:cs="宋体"/>
          <w:kern w:val="0"/>
          <w:sz w:val="24"/>
          <w:highlight w:val="none"/>
        </w:rPr>
        <w:t>，作为违约金，违约金不足以补偿损失的，乙方有权要求甲方补足。</w:t>
      </w:r>
    </w:p>
    <w:p w14:paraId="2E7A4997">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、甲方逾期付款的，应按照逾期付款金额的每天万分之四支付逾期付款违约金。</w:t>
      </w:r>
    </w:p>
    <w:p w14:paraId="790E8E47">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、乙方不能按时提供服务（逾期超过十五天视为不能服务），或服务不合格从而影响甲方按期正常使用的，甲方有权解除合同，乙方应向甲方偿付合同总价款</w:t>
      </w:r>
      <w:r>
        <w:rPr>
          <w:rFonts w:ascii="宋体" w:hAnsi="宋体" w:eastAsia="宋体" w:cs="宋体"/>
          <w:kern w:val="0"/>
          <w:sz w:val="24"/>
          <w:highlight w:val="none"/>
        </w:rPr>
        <w:t>5%</w:t>
      </w:r>
      <w:r>
        <w:rPr>
          <w:rFonts w:hint="eastAsia" w:ascii="宋体" w:hAnsi="宋体" w:eastAsia="宋体" w:cs="宋体"/>
          <w:kern w:val="0"/>
          <w:sz w:val="24"/>
          <w:highlight w:val="none"/>
        </w:rPr>
        <w:t>的违约金，违约金不足以补偿损失的甲方有权要求乙方补足。</w:t>
      </w:r>
    </w:p>
    <w:p w14:paraId="1F10DF6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、乙方项目组成员须按招标文件承诺人员配备，未经甲方同意不得擅自更换；如更换需向甲方支付赔偿金。</w:t>
      </w:r>
    </w:p>
    <w:p w14:paraId="32BEA97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5</w:t>
      </w:r>
      <w:r>
        <w:rPr>
          <w:rFonts w:hint="eastAsia" w:ascii="宋体" w:hAnsi="宋体" w:eastAsia="宋体" w:cs="宋体"/>
          <w:kern w:val="0"/>
          <w:sz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D44FB2A">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6</w:t>
      </w:r>
      <w:r>
        <w:rPr>
          <w:rFonts w:hint="eastAsia" w:ascii="宋体" w:hAnsi="宋体" w:eastAsia="宋体" w:cs="宋体"/>
          <w:kern w:val="0"/>
          <w:sz w:val="24"/>
          <w:highlight w:val="none"/>
        </w:rPr>
        <w:t>、其他未尽事宜，以《民法典》和《政府采购法》等有关法律法规规定为准，无相关规定的，双方协商解决。</w:t>
      </w:r>
    </w:p>
    <w:p w14:paraId="5FFC5844">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第十四条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不可抗力</w:t>
      </w:r>
    </w:p>
    <w:p w14:paraId="77AF67E5">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甲、乙方中任何一方，因不可抗力不能按时或完全履行合同的</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1EC59F80">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因合同一方迟延履行后发生不可抗力的，不能免除责任。</w:t>
      </w:r>
    </w:p>
    <w:p w14:paraId="1A4AD260">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第十五条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索赔</w:t>
      </w:r>
    </w:p>
    <w:p w14:paraId="746A0E32">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kern w:val="0"/>
          <w:sz w:val="24"/>
          <w:highlight w:val="none"/>
        </w:rPr>
        <w:t>(   )</w:t>
      </w:r>
      <w:r>
        <w:rPr>
          <w:rFonts w:hint="eastAsia" w:ascii="宋体" w:hAnsi="宋体" w:eastAsia="宋体" w:cs="宋体"/>
          <w:kern w:val="0"/>
          <w:sz w:val="24"/>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70BB2646">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第十六条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争议的解决</w:t>
      </w:r>
    </w:p>
    <w:p w14:paraId="62B0D214">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、因服务的质量问题发生争议的，应当邀请国家认可的质量检测机构对服务项目质量进行鉴定。项目符合标准的，鉴定费由甲方承担；项目不符合质量标准的，鉴定费由乙方承担。</w:t>
      </w:r>
    </w:p>
    <w:p w14:paraId="36AE668D">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、因履行本合同引起的或与本合同有关的争议，甲、乙双方应首先通过友好协商解决，如果协商不能解决争议，则向甲方所在地有管辖权的人民法院提起诉讼；</w:t>
      </w:r>
    </w:p>
    <w:p w14:paraId="3BDB801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、在法院审理和仲裁期间，除有争议部分外，本合同其他部分应继续履行。</w:t>
      </w:r>
    </w:p>
    <w:p w14:paraId="3C1DA7AE">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第十七条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诚实信用</w:t>
      </w:r>
      <w:r>
        <w:rPr>
          <w:rFonts w:ascii="宋体" w:hAnsi="宋体" w:eastAsia="宋体" w:cs="宋体"/>
          <w:b/>
          <w:kern w:val="0"/>
          <w:sz w:val="24"/>
          <w:highlight w:val="none"/>
        </w:rPr>
        <w:t xml:space="preserve"> </w:t>
      </w:r>
    </w:p>
    <w:p w14:paraId="0310A1C0">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乙方应诚实信用，严格按照招标文件要求和投标承诺履行合同，不向甲方进行商业贿赂或者提供不正当利益。</w:t>
      </w:r>
    </w:p>
    <w:p w14:paraId="0B8F7E18">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第十八条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合同生效及其他</w:t>
      </w:r>
    </w:p>
    <w:p w14:paraId="1000ACAF">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、本合同自经甲乙双方授权代表签订并加盖公章后，自签订之日起生效。</w:t>
      </w:r>
    </w:p>
    <w:p w14:paraId="5AF6BF46">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、本合同一式两份份，甲乙双方各执一份。</w:t>
      </w:r>
    </w:p>
    <w:p w14:paraId="1A1EFFE8">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、本合同应按照中华人民共和国的现行法律进行解释。</w:t>
      </w:r>
    </w:p>
    <w:p w14:paraId="572F982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 </w:t>
      </w:r>
    </w:p>
    <w:p w14:paraId="7AC7CDF5">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甲方（采购人）：（盖章）</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乙方（供应商）：（盖章）</w:t>
      </w:r>
    </w:p>
    <w:p w14:paraId="46A28EF2">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代表人：</w:t>
      </w:r>
      <w:r>
        <w:rPr>
          <w:rFonts w:ascii="宋体" w:hAnsi="宋体" w:eastAsia="宋体" w:cs="宋体"/>
          <w:kern w:val="0"/>
          <w:sz w:val="24"/>
          <w:highlight w:val="none"/>
        </w:rPr>
        <w:t>              </w:t>
      </w:r>
      <w:r>
        <w:rPr>
          <w:rFonts w:hint="eastAsia" w:ascii="宋体" w:hAnsi="宋体" w:eastAsia="宋体" w:cs="宋体"/>
          <w:kern w:val="0"/>
          <w:sz w:val="24"/>
          <w:highlight w:val="none"/>
        </w:rPr>
        <w:t>代表人：</w:t>
      </w:r>
    </w:p>
    <w:p w14:paraId="74166EEE">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电话：</w:t>
      </w:r>
      <w:r>
        <w:rPr>
          <w:rFonts w:ascii="宋体" w:hAnsi="宋体" w:eastAsia="宋体" w:cs="宋体"/>
          <w:kern w:val="0"/>
          <w:sz w:val="24"/>
          <w:highlight w:val="none"/>
        </w:rPr>
        <w:t>               </w:t>
      </w:r>
      <w:r>
        <w:rPr>
          <w:rFonts w:hint="eastAsia" w:ascii="宋体" w:hAnsi="宋体" w:eastAsia="宋体" w:cs="宋体"/>
          <w:kern w:val="0"/>
          <w:sz w:val="24"/>
          <w:highlight w:val="none"/>
        </w:rPr>
        <w:t>电话：</w:t>
      </w:r>
    </w:p>
    <w:p w14:paraId="0BE62218">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开户银行：</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开户银行：</w:t>
      </w:r>
    </w:p>
    <w:p w14:paraId="6BA3E3B3">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帐号：</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帐号：</w:t>
      </w:r>
    </w:p>
    <w:p w14:paraId="4D625A66">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日期：</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日期：</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w:t>
      </w:r>
    </w:p>
    <w:p w14:paraId="3FED3376">
      <w:pPr>
        <w:widowControl/>
        <w:spacing w:after="200" w:line="276" w:lineRule="auto"/>
        <w:jc w:val="left"/>
        <w:rPr>
          <w:rFonts w:ascii="Times New Roman" w:hAnsi="Times New Roman" w:eastAsia="Times New Roman" w:cs="Times New Roman"/>
          <w:kern w:val="0"/>
          <w:sz w:val="24"/>
          <w:highlight w:val="none"/>
        </w:rPr>
      </w:pPr>
      <w:r>
        <w:rPr>
          <w:rFonts w:ascii="Times New Roman" w:hAnsi="Times New Roman" w:eastAsia="Times New Roman" w:cs="Times New Roman"/>
          <w:kern w:val="0"/>
          <w:sz w:val="24"/>
          <w:highlight w:val="none"/>
        </w:rPr>
        <w:br w:type="page"/>
      </w:r>
    </w:p>
    <w:p w14:paraId="4C551E9C">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cs="Times New Roman"/>
          <w:kern w:val="0"/>
          <w:sz w:val="22"/>
          <w:highlight w:val="none"/>
        </w:rPr>
      </w:pPr>
      <w:r>
        <w:rPr>
          <w:rFonts w:ascii="宋体" w:hAnsi="宋体" w:eastAsia="宋体" w:cs="宋体"/>
          <w:b/>
          <w:kern w:val="0"/>
          <w:sz w:val="44"/>
          <w:highlight w:val="none"/>
        </w:rPr>
        <w:t>第</w:t>
      </w:r>
      <w:r>
        <w:rPr>
          <w:rFonts w:hint="eastAsia" w:ascii="宋体" w:hAnsi="宋体" w:eastAsia="宋体" w:cs="宋体"/>
          <w:b/>
          <w:kern w:val="0"/>
          <w:sz w:val="44"/>
          <w:highlight w:val="none"/>
        </w:rPr>
        <w:t>七</w:t>
      </w:r>
      <w:r>
        <w:rPr>
          <w:rFonts w:ascii="宋体" w:hAnsi="宋体" w:eastAsia="宋体" w:cs="宋体"/>
          <w:b/>
          <w:kern w:val="0"/>
          <w:sz w:val="44"/>
          <w:highlight w:val="none"/>
        </w:rPr>
        <w:t xml:space="preserve">部分 </w:t>
      </w:r>
      <w:r>
        <w:rPr>
          <w:rFonts w:hint="eastAsia" w:ascii="宋体" w:hAnsi="宋体" w:eastAsia="宋体" w:cs="宋体"/>
          <w:b/>
          <w:kern w:val="0"/>
          <w:sz w:val="44"/>
          <w:highlight w:val="none"/>
        </w:rPr>
        <w:t>响应文件格式</w:t>
      </w:r>
    </w:p>
    <w:p w14:paraId="0F6484BA">
      <w:pPr>
        <w:widowControl/>
        <w:pBdr>
          <w:top w:val="none" w:color="000000" w:sz="0" w:space="0"/>
          <w:left w:val="none" w:color="000000" w:sz="0" w:space="0"/>
          <w:bottom w:val="none" w:color="000000" w:sz="0" w:space="0"/>
          <w:right w:val="none" w:color="000000" w:sz="0" w:space="0"/>
        </w:pBdr>
        <w:spacing w:line="380" w:lineRule="atLeast"/>
        <w:jc w:val="center"/>
        <w:rPr>
          <w:rFonts w:ascii="Arial" w:hAnsi="Arial" w:eastAsia="Arial" w:cs="Times New Roman"/>
          <w:kern w:val="0"/>
          <w:sz w:val="22"/>
          <w:highlight w:val="none"/>
        </w:rPr>
      </w:pPr>
      <w:r>
        <w:rPr>
          <w:rFonts w:ascii="宋体" w:hAnsi="宋体" w:eastAsia="宋体" w:cs="宋体"/>
          <w:b/>
          <w:kern w:val="0"/>
          <w:sz w:val="24"/>
          <w:highlight w:val="none"/>
        </w:rPr>
        <w:t> </w:t>
      </w:r>
    </w:p>
    <w:p w14:paraId="3943AE19">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064D7103">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highlight w:val="none"/>
        </w:rPr>
      </w:pPr>
      <w:r>
        <w:rPr>
          <w:rFonts w:ascii="宋体" w:hAnsi="宋体" w:eastAsia="宋体" w:cs="宋体"/>
          <w:kern w:val="0"/>
          <w:sz w:val="24"/>
          <w:highlight w:val="none"/>
        </w:rPr>
        <w:t>说明：</w:t>
      </w:r>
    </w:p>
    <w:p w14:paraId="07451049">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highlight w:val="none"/>
        </w:rPr>
      </w:pPr>
      <w:r>
        <w:rPr>
          <w:rFonts w:ascii="宋体" w:hAnsi="宋体" w:eastAsia="宋体" w:cs="宋体"/>
          <w:kern w:val="0"/>
          <w:sz w:val="24"/>
          <w:highlight w:val="none"/>
        </w:rPr>
        <w:t>对本章所有的响应书格式，响应方可根据自身情况进行补充和修改，但补充和修改不得造成与本格式内容有实质性的违背。</w:t>
      </w:r>
    </w:p>
    <w:p w14:paraId="283CDDE3">
      <w:pPr>
        <w:widowControl/>
        <w:pBdr>
          <w:top w:val="none" w:color="000000" w:sz="0" w:space="0"/>
          <w:left w:val="none" w:color="000000" w:sz="0" w:space="0"/>
          <w:bottom w:val="none" w:color="000000" w:sz="0" w:space="0"/>
          <w:right w:val="none" w:color="000000" w:sz="0" w:space="0"/>
        </w:pBdr>
        <w:spacing w:line="276" w:lineRule="auto"/>
        <w:jc w:val="left"/>
        <w:rPr>
          <w:rFonts w:ascii="Arial" w:hAnsi="Arial" w:eastAsia="Arial" w:cs="Times New Roman"/>
          <w:kern w:val="0"/>
          <w:sz w:val="22"/>
          <w:highlight w:val="none"/>
        </w:rPr>
      </w:pPr>
      <w:r>
        <w:rPr>
          <w:rFonts w:ascii="Arial" w:hAnsi="Arial" w:eastAsia="Arial" w:cs="Times New Roman"/>
          <w:kern w:val="0"/>
          <w:sz w:val="22"/>
          <w:highlight w:val="none"/>
        </w:rPr>
        <w:br w:type="page" w:clear="all"/>
      </w:r>
    </w:p>
    <w:p w14:paraId="7D31711D">
      <w:pPr>
        <w:overflowPunct w:val="0"/>
        <w:spacing w:after="200" w:line="360" w:lineRule="auto"/>
        <w:rPr>
          <w:rFonts w:ascii="宋体" w:hAnsi="宋体" w:eastAsia="Arial" w:cs="Times New Roman"/>
          <w:b/>
          <w:sz w:val="28"/>
          <w:szCs w:val="28"/>
          <w:highlight w:val="none"/>
        </w:rPr>
      </w:pPr>
      <w:r>
        <w:rPr>
          <w:rFonts w:hint="eastAsia" w:ascii="宋体" w:hAnsi="宋体" w:eastAsia="Arial" w:cs="Times New Roman"/>
          <w:b/>
          <w:sz w:val="32"/>
          <w:szCs w:val="32"/>
          <w:highlight w:val="none"/>
        </w:rPr>
        <w:t>1、</w:t>
      </w:r>
      <w:r>
        <w:rPr>
          <w:rFonts w:hint="eastAsia" w:ascii="宋体" w:hAnsi="宋体" w:eastAsia="Arial" w:cs="Times New Roman"/>
          <w:b/>
          <w:sz w:val="28"/>
          <w:szCs w:val="28"/>
          <w:highlight w:val="none"/>
        </w:rPr>
        <w:t>关于资格文件的声明函</w:t>
      </w:r>
    </w:p>
    <w:p w14:paraId="70909C12">
      <w:pPr>
        <w:overflowPunct w:val="0"/>
        <w:spacing w:after="200" w:line="276" w:lineRule="auto"/>
        <w:ind w:left="1260" w:firstLine="420"/>
        <w:rPr>
          <w:rFonts w:ascii="宋体" w:hAnsi="宋体" w:eastAsia="Arial" w:cs="Times New Roman"/>
          <w:sz w:val="30"/>
          <w:szCs w:val="30"/>
          <w:highlight w:val="none"/>
        </w:rPr>
      </w:pPr>
    </w:p>
    <w:p w14:paraId="62534341">
      <w:pPr>
        <w:overflowPunct w:val="0"/>
        <w:spacing w:after="200" w:line="276" w:lineRule="auto"/>
        <w:ind w:left="1260" w:firstLine="420"/>
        <w:rPr>
          <w:rFonts w:ascii="宋体" w:hAnsi="宋体" w:eastAsia="Arial" w:cs="Times New Roman"/>
          <w:sz w:val="30"/>
          <w:szCs w:val="30"/>
          <w:highlight w:val="none"/>
        </w:rPr>
      </w:pPr>
    </w:p>
    <w:p w14:paraId="65620194">
      <w:pPr>
        <w:overflowPunct w:val="0"/>
        <w:spacing w:after="200" w:line="276" w:lineRule="auto"/>
        <w:ind w:left="1260" w:leftChars="600" w:firstLine="1770" w:firstLineChars="590"/>
        <w:rPr>
          <w:rFonts w:ascii="宋体" w:hAnsi="宋体" w:eastAsia="Arial" w:cs="Times New Roman"/>
          <w:sz w:val="30"/>
          <w:szCs w:val="30"/>
          <w:highlight w:val="none"/>
        </w:rPr>
      </w:pPr>
      <w:r>
        <w:rPr>
          <w:rFonts w:hint="eastAsia" w:ascii="宋体" w:hAnsi="宋体" w:eastAsia="Arial" w:cs="Times New Roman"/>
          <w:sz w:val="30"/>
          <w:szCs w:val="30"/>
          <w:highlight w:val="none"/>
        </w:rPr>
        <w:t>关于资格文件的声明函</w:t>
      </w:r>
    </w:p>
    <w:p w14:paraId="2A7CFEF4">
      <w:pPr>
        <w:overflowPunct w:val="0"/>
        <w:spacing w:after="200" w:line="276" w:lineRule="auto"/>
        <w:ind w:left="1260" w:firstLine="420"/>
        <w:jc w:val="center"/>
        <w:rPr>
          <w:rFonts w:ascii="宋体" w:hAnsi="宋体" w:eastAsia="Arial" w:cs="Times New Roman"/>
          <w:sz w:val="22"/>
          <w:szCs w:val="24"/>
          <w:highlight w:val="none"/>
        </w:rPr>
      </w:pPr>
    </w:p>
    <w:p w14:paraId="5026DE04">
      <w:pPr>
        <w:overflowPunct w:val="0"/>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苏州市公共资源交易中心太仓分中心  </w:t>
      </w:r>
      <w:r>
        <w:rPr>
          <w:rFonts w:hint="eastAsia" w:ascii="宋体" w:hAnsi="宋体" w:eastAsia="宋体" w:cs="宋体"/>
          <w:sz w:val="24"/>
          <w:szCs w:val="24"/>
          <w:highlight w:val="none"/>
        </w:rPr>
        <w:t>：</w:t>
      </w:r>
    </w:p>
    <w:p w14:paraId="2AE6B546">
      <w:pPr>
        <w:overflowPunct w:val="0"/>
        <w:spacing w:after="200" w:line="500" w:lineRule="exact"/>
        <w:ind w:right="445" w:rightChars="212"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本公司愿就由贵单位组织实施的编号为</w:t>
      </w:r>
      <w:r>
        <w:rPr>
          <w:rFonts w:hint="eastAsia" w:ascii="宋体" w:hAnsi="宋体" w:eastAsia="宋体" w:cs="宋体"/>
          <w:b/>
          <w:sz w:val="24"/>
          <w:szCs w:val="24"/>
          <w:highlight w:val="none"/>
          <w:u w:val="single"/>
          <w:lang w:eastAsia="zh-CN"/>
        </w:rPr>
        <w:t>JSZC-320585-JZCG-D2025-0147</w:t>
      </w:r>
      <w:r>
        <w:rPr>
          <w:rFonts w:hint="eastAsia" w:ascii="宋体" w:hAnsi="宋体" w:eastAsia="宋体" w:cs="宋体"/>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2E0214B2">
      <w:pPr>
        <w:overflowPunct w:val="0"/>
        <w:spacing w:after="200" w:line="500" w:lineRule="exact"/>
        <w:ind w:left="1259" w:firstLine="426"/>
        <w:rPr>
          <w:rFonts w:ascii="宋体" w:hAnsi="宋体" w:eastAsia="宋体" w:cs="宋体"/>
          <w:sz w:val="24"/>
          <w:szCs w:val="24"/>
          <w:highlight w:val="none"/>
        </w:rPr>
      </w:pPr>
    </w:p>
    <w:p w14:paraId="49C494AA">
      <w:pPr>
        <w:overflowPunct w:val="0"/>
        <w:spacing w:after="200" w:line="500" w:lineRule="exact"/>
        <w:ind w:left="1259" w:firstLine="426"/>
        <w:rPr>
          <w:rFonts w:ascii="宋体" w:hAnsi="宋体" w:eastAsia="宋体" w:cs="宋体"/>
          <w:sz w:val="24"/>
          <w:szCs w:val="24"/>
          <w:highlight w:val="none"/>
        </w:rPr>
      </w:pPr>
    </w:p>
    <w:p w14:paraId="40C9B672">
      <w:pPr>
        <w:overflowPunct w:val="0"/>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响应单位（单位盖章）：</w:t>
      </w:r>
    </w:p>
    <w:p w14:paraId="13CEAB19">
      <w:pPr>
        <w:overflowPunct w:val="0"/>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法定代表人或授权代理人（签字或盖章）：</w:t>
      </w:r>
    </w:p>
    <w:p w14:paraId="42F28046">
      <w:pPr>
        <w:overflowPunct w:val="0"/>
        <w:spacing w:after="200" w:line="500" w:lineRule="exact"/>
        <w:rPr>
          <w:rFonts w:ascii="宋体" w:hAnsi="宋体" w:eastAsia="宋体" w:cs="宋体"/>
          <w:sz w:val="24"/>
          <w:szCs w:val="24"/>
          <w:highlight w:val="none"/>
        </w:rPr>
      </w:pPr>
      <w:r>
        <w:rPr>
          <w:rFonts w:hint="eastAsia" w:ascii="宋体" w:hAnsi="宋体" w:eastAsia="宋体" w:cs="宋体"/>
          <w:sz w:val="24"/>
          <w:szCs w:val="24"/>
          <w:highlight w:val="none"/>
        </w:rPr>
        <w:t>响应日期：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p>
    <w:p w14:paraId="557A997B">
      <w:pPr>
        <w:widowControl/>
        <w:spacing w:after="200" w:line="276" w:lineRule="auto"/>
        <w:jc w:val="left"/>
        <w:rPr>
          <w:rFonts w:ascii="宋体" w:hAnsi="宋体" w:eastAsia="Arial" w:cs="Times New Roman"/>
          <w:kern w:val="0"/>
          <w:sz w:val="22"/>
          <w:szCs w:val="24"/>
          <w:highlight w:val="none"/>
        </w:rPr>
      </w:pPr>
    </w:p>
    <w:p w14:paraId="588DC09A">
      <w:pPr>
        <w:widowControl/>
        <w:spacing w:after="200" w:line="276" w:lineRule="auto"/>
        <w:jc w:val="left"/>
        <w:rPr>
          <w:rFonts w:ascii="宋体" w:hAnsi="宋体" w:eastAsia="Arial" w:cs="Times New Roman"/>
          <w:kern w:val="0"/>
          <w:sz w:val="22"/>
          <w:szCs w:val="24"/>
          <w:highlight w:val="none"/>
        </w:rPr>
      </w:pPr>
    </w:p>
    <w:p w14:paraId="34481D18">
      <w:pPr>
        <w:widowControl/>
        <w:spacing w:after="200" w:line="276" w:lineRule="auto"/>
        <w:jc w:val="left"/>
        <w:rPr>
          <w:rFonts w:ascii="宋体" w:hAnsi="宋体" w:eastAsia="Arial" w:cs="Times New Roman"/>
          <w:kern w:val="0"/>
          <w:sz w:val="22"/>
          <w:szCs w:val="24"/>
          <w:highlight w:val="none"/>
        </w:rPr>
      </w:pPr>
    </w:p>
    <w:p w14:paraId="309AAD60">
      <w:pPr>
        <w:widowControl/>
        <w:spacing w:after="200" w:line="276" w:lineRule="auto"/>
        <w:jc w:val="left"/>
        <w:rPr>
          <w:rFonts w:ascii="宋体" w:hAnsi="宋体" w:eastAsia="Arial" w:cs="Times New Roman"/>
          <w:kern w:val="0"/>
          <w:sz w:val="22"/>
          <w:szCs w:val="24"/>
          <w:highlight w:val="none"/>
        </w:rPr>
      </w:pPr>
    </w:p>
    <w:p w14:paraId="4BC90BB4">
      <w:pPr>
        <w:widowControl/>
        <w:spacing w:after="200" w:line="276" w:lineRule="auto"/>
        <w:jc w:val="left"/>
        <w:rPr>
          <w:rFonts w:ascii="宋体" w:hAnsi="宋体" w:eastAsia="Arial" w:cs="Times New Roman"/>
          <w:kern w:val="0"/>
          <w:sz w:val="22"/>
          <w:szCs w:val="24"/>
          <w:highlight w:val="none"/>
        </w:rPr>
      </w:pPr>
    </w:p>
    <w:p w14:paraId="79B73097">
      <w:pPr>
        <w:widowControl/>
        <w:spacing w:after="200" w:line="276" w:lineRule="auto"/>
        <w:jc w:val="left"/>
        <w:rPr>
          <w:rFonts w:ascii="宋体" w:hAnsi="宋体" w:eastAsia="Arial" w:cs="Times New Roman"/>
          <w:kern w:val="0"/>
          <w:sz w:val="22"/>
          <w:szCs w:val="24"/>
          <w:highlight w:val="none"/>
        </w:rPr>
      </w:pPr>
    </w:p>
    <w:p w14:paraId="11C70214">
      <w:pPr>
        <w:widowControl/>
        <w:spacing w:after="200" w:line="276" w:lineRule="auto"/>
        <w:jc w:val="left"/>
        <w:rPr>
          <w:rFonts w:ascii="宋体" w:hAnsi="宋体" w:eastAsia="Arial" w:cs="Times New Roman"/>
          <w:kern w:val="0"/>
          <w:sz w:val="22"/>
          <w:szCs w:val="24"/>
          <w:highlight w:val="none"/>
        </w:rPr>
      </w:pPr>
    </w:p>
    <w:p w14:paraId="6409CFD7">
      <w:pPr>
        <w:widowControl/>
        <w:adjustRightInd w:val="0"/>
        <w:spacing w:after="200" w:line="276" w:lineRule="auto"/>
        <w:jc w:val="left"/>
        <w:textAlignment w:val="baseline"/>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t>2、响应承诺函</w:t>
      </w:r>
    </w:p>
    <w:p w14:paraId="667F8C30">
      <w:pPr>
        <w:widowControl/>
        <w:tabs>
          <w:tab w:val="left" w:pos="3633"/>
          <w:tab w:val="center" w:pos="4723"/>
        </w:tabs>
        <w:adjustRightInd w:val="0"/>
        <w:spacing w:after="200" w:line="360" w:lineRule="exact"/>
        <w:jc w:val="left"/>
        <w:textAlignment w:val="baseline"/>
        <w:rPr>
          <w:rFonts w:ascii="宋体" w:hAnsi="宋体" w:eastAsia="Arial" w:cs="Times New Roman"/>
          <w:b/>
          <w:kern w:val="0"/>
          <w:sz w:val="32"/>
          <w:highlight w:val="none"/>
        </w:rPr>
      </w:pPr>
      <w:r>
        <w:rPr>
          <w:rFonts w:ascii="宋体" w:hAnsi="宋体" w:eastAsia="Arial" w:cs="Times New Roman"/>
          <w:b/>
          <w:kern w:val="0"/>
          <w:sz w:val="32"/>
          <w:highlight w:val="none"/>
        </w:rPr>
        <w:tab/>
      </w:r>
      <w:r>
        <w:rPr>
          <w:rFonts w:ascii="宋体" w:hAnsi="宋体" w:eastAsia="Arial" w:cs="Times New Roman"/>
          <w:b/>
          <w:kern w:val="0"/>
          <w:sz w:val="32"/>
          <w:highlight w:val="none"/>
        </w:rPr>
        <w:tab/>
      </w:r>
      <w:r>
        <w:rPr>
          <w:rFonts w:hint="eastAsia" w:ascii="宋体" w:hAnsi="宋体" w:eastAsia="Arial" w:cs="Times New Roman"/>
          <w:b/>
          <w:kern w:val="0"/>
          <w:sz w:val="32"/>
          <w:highlight w:val="none"/>
        </w:rPr>
        <w:t>响应承诺函</w:t>
      </w:r>
    </w:p>
    <w:p w14:paraId="6B55638A">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u w:val="single"/>
        </w:rPr>
        <w:t xml:space="preserve">苏州市公共资源交易中心太仓分中心 </w:t>
      </w:r>
      <w:r>
        <w:rPr>
          <w:rFonts w:hint="eastAsia" w:ascii="宋体" w:hAnsi="宋体" w:eastAsia="宋体" w:cs="宋体"/>
          <w:kern w:val="0"/>
          <w:sz w:val="24"/>
          <w:szCs w:val="24"/>
          <w:highlight w:val="none"/>
        </w:rPr>
        <w:t>：</w:t>
      </w:r>
    </w:p>
    <w:p w14:paraId="65384DA6">
      <w:pPr>
        <w:widowControl/>
        <w:adjustRightInd w:val="0"/>
        <w:spacing w:after="200" w:line="500" w:lineRule="exact"/>
        <w:ind w:firstLine="480" w:firstLineChars="20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我们收到贵单位</w:t>
      </w:r>
      <w:r>
        <w:rPr>
          <w:rFonts w:hint="eastAsia" w:ascii="宋体" w:hAnsi="宋体" w:eastAsia="宋体" w:cs="宋体"/>
          <w:b/>
          <w:kern w:val="0"/>
          <w:sz w:val="24"/>
          <w:szCs w:val="24"/>
          <w:highlight w:val="none"/>
          <w:u w:val="single"/>
          <w:lang w:eastAsia="zh-CN"/>
        </w:rPr>
        <w:t>网络运维和安全服务项目</w:t>
      </w:r>
      <w:r>
        <w:rPr>
          <w:rFonts w:hint="eastAsia" w:ascii="宋体" w:hAnsi="宋体" w:eastAsia="宋体" w:cs="宋体"/>
          <w:kern w:val="0"/>
          <w:sz w:val="24"/>
          <w:szCs w:val="24"/>
          <w:highlight w:val="none"/>
        </w:rPr>
        <w:t>采购文件（项目编号：</w:t>
      </w:r>
      <w:r>
        <w:rPr>
          <w:rFonts w:hint="eastAsia" w:ascii="宋体" w:hAnsi="宋体" w:eastAsia="宋体" w:cs="宋体"/>
          <w:b/>
          <w:kern w:val="0"/>
          <w:sz w:val="24"/>
          <w:szCs w:val="24"/>
          <w:highlight w:val="none"/>
          <w:u w:val="single"/>
          <w:lang w:eastAsia="zh-CN"/>
        </w:rPr>
        <w:t>JSZC-320585-JZCG-D2025-0147</w:t>
      </w:r>
      <w:r>
        <w:rPr>
          <w:rFonts w:hint="eastAsia" w:ascii="宋体" w:hAnsi="宋体" w:eastAsia="宋体" w:cs="宋体"/>
          <w:kern w:val="0"/>
          <w:sz w:val="24"/>
          <w:szCs w:val="24"/>
          <w:highlight w:val="none"/>
        </w:rPr>
        <w:t xml:space="preserve"> ），经仔细阅读和研究，我们决定参加响应。</w:t>
      </w:r>
    </w:p>
    <w:p w14:paraId="29562FA6">
      <w:pPr>
        <w:widowControl/>
        <w:spacing w:after="200" w:line="500" w:lineRule="exact"/>
        <w:ind w:firstLine="24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1、我们愿意按照采购文件的一切要求，提供包括完成该项目全部内容的设备、材料及人工、机械、保险、劳保、各种税费以及质保期间的一切费用。</w:t>
      </w:r>
    </w:p>
    <w:p w14:paraId="0BEEF190">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2、如果我们的响应书被接受，我们将严格履行采购文件中规定的每一项要求，按期、按质、按量履行合同的义务。</w:t>
      </w:r>
    </w:p>
    <w:p w14:paraId="75D8DFB7">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3、我们同意按采购文件中的规定，本响应书的有效期限为开标后</w:t>
      </w:r>
      <w:r>
        <w:rPr>
          <w:rFonts w:hint="eastAsia" w:ascii="宋体" w:hAnsi="宋体" w:eastAsia="宋体" w:cs="宋体"/>
          <w:b/>
          <w:kern w:val="0"/>
          <w:sz w:val="24"/>
          <w:szCs w:val="24"/>
          <w:highlight w:val="none"/>
          <w:u w:val="single"/>
        </w:rPr>
        <w:t>90</w:t>
      </w:r>
      <w:r>
        <w:rPr>
          <w:rFonts w:hint="eastAsia" w:ascii="宋体" w:hAnsi="宋体" w:eastAsia="宋体" w:cs="宋体"/>
          <w:kern w:val="0"/>
          <w:sz w:val="24"/>
          <w:szCs w:val="24"/>
          <w:highlight w:val="none"/>
        </w:rPr>
        <w:t>天。</w:t>
      </w:r>
    </w:p>
    <w:p w14:paraId="1B476684">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4、我们愿意提供采购方在采购文件中要求的所有资料。</w:t>
      </w:r>
    </w:p>
    <w:p w14:paraId="46DCE5BF">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5、我们认为你们有权决定成交者，还认为你们有权接受或拒绝所有的响应者。</w:t>
      </w:r>
    </w:p>
    <w:p w14:paraId="0266EAF1">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6、我们完全理解贵方不一定要接受最低报价的响应或收到的任何响应。</w:t>
      </w:r>
    </w:p>
    <w:p w14:paraId="08B6AA10">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7、我们承诺该项响应在开标后的全过程中保持有效，不作任何更改和变动。</w:t>
      </w:r>
    </w:p>
    <w:p w14:paraId="7E8D71B9">
      <w:pPr>
        <w:widowControl/>
        <w:adjustRightInd w:val="0"/>
        <w:spacing w:after="200" w:line="500" w:lineRule="exact"/>
        <w:ind w:firstLine="480"/>
        <w:jc w:val="left"/>
        <w:textAlignment w:val="baseline"/>
        <w:rPr>
          <w:rFonts w:ascii="宋体" w:hAnsi="宋体" w:eastAsia="宋体" w:cs="宋体"/>
          <w:b/>
          <w:bCs/>
          <w:kern w:val="0"/>
          <w:sz w:val="24"/>
          <w:szCs w:val="24"/>
          <w:highlight w:val="none"/>
        </w:rPr>
      </w:pPr>
      <w:r>
        <w:rPr>
          <w:rFonts w:hint="eastAsia" w:ascii="宋体" w:hAnsi="宋体" w:eastAsia="宋体" w:cs="宋体"/>
          <w:kern w:val="0"/>
          <w:sz w:val="24"/>
          <w:szCs w:val="24"/>
          <w:highlight w:val="none"/>
        </w:rPr>
        <w:t>8、</w:t>
      </w:r>
      <w:r>
        <w:rPr>
          <w:rFonts w:hint="eastAsia" w:ascii="宋体" w:hAnsi="宋体" w:eastAsia="宋体" w:cs="宋体"/>
          <w:b/>
          <w:bCs/>
          <w:kern w:val="0"/>
          <w:sz w:val="24"/>
          <w:szCs w:val="24"/>
          <w:highlight w:val="none"/>
        </w:rPr>
        <w:t>如果成交，我们同意并知晓成交通知书发出方式及发出时间，遵守采购文件和成交通知书规定，在指定时间和地点和采购人签订合同。</w:t>
      </w:r>
    </w:p>
    <w:p w14:paraId="69ABCC3E">
      <w:pPr>
        <w:widowControl/>
        <w:adjustRightInd w:val="0"/>
        <w:spacing w:after="200" w:line="500" w:lineRule="exact"/>
        <w:ind w:firstLine="48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9、综合说明：</w:t>
      </w:r>
    </w:p>
    <w:p w14:paraId="713AD984">
      <w:pPr>
        <w:widowControl/>
        <w:adjustRightInd w:val="0"/>
        <w:spacing w:after="200" w:line="500" w:lineRule="exact"/>
        <w:ind w:firstLine="42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（1）伴随服务及配合措施；</w:t>
      </w:r>
    </w:p>
    <w:p w14:paraId="0F2A13F9">
      <w:pPr>
        <w:widowControl/>
        <w:adjustRightInd w:val="0"/>
        <w:spacing w:after="200" w:line="500" w:lineRule="exact"/>
        <w:ind w:firstLine="42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（2）要求甲方提供的配合；</w:t>
      </w:r>
    </w:p>
    <w:p w14:paraId="1960B361">
      <w:pPr>
        <w:widowControl/>
        <w:adjustRightInd w:val="0"/>
        <w:spacing w:after="200" w:line="500" w:lineRule="exact"/>
        <w:ind w:firstLine="42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（3）对采购文件有不同意见的偏离说明；</w:t>
      </w:r>
    </w:p>
    <w:p w14:paraId="7F3E621A">
      <w:pPr>
        <w:widowControl/>
        <w:adjustRightInd w:val="0"/>
        <w:spacing w:after="200" w:line="500" w:lineRule="exact"/>
        <w:ind w:firstLine="42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（4）其它说明。</w:t>
      </w:r>
    </w:p>
    <w:p w14:paraId="6E23A7ED">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所有有关标书的函电，请按下列地址联系：</w:t>
      </w:r>
    </w:p>
    <w:p w14:paraId="03F52F49">
      <w:pPr>
        <w:widowControl/>
        <w:adjustRightInd w:val="0"/>
        <w:spacing w:after="200" w:line="500" w:lineRule="exact"/>
        <w:ind w:firstLine="480" w:firstLineChars="20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单位：                         联系人：</w:t>
      </w:r>
    </w:p>
    <w:p w14:paraId="076AFFF9">
      <w:pPr>
        <w:widowControl/>
        <w:adjustRightInd w:val="0"/>
        <w:spacing w:after="200" w:line="500" w:lineRule="exact"/>
        <w:ind w:firstLine="480" w:firstLineChars="20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地址：                         邮政编码：</w:t>
      </w:r>
    </w:p>
    <w:p w14:paraId="0B571DDC">
      <w:pPr>
        <w:widowControl/>
        <w:adjustRightInd w:val="0"/>
        <w:spacing w:after="200" w:line="500" w:lineRule="exact"/>
        <w:ind w:firstLine="480" w:firstLineChars="20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联系电话：                     传真：</w:t>
      </w:r>
    </w:p>
    <w:p w14:paraId="2496A21D">
      <w:pPr>
        <w:widowControl/>
        <w:adjustRightInd w:val="0"/>
        <w:spacing w:after="200" w:line="500" w:lineRule="exact"/>
        <w:jc w:val="left"/>
        <w:textAlignment w:val="baseline"/>
        <w:rPr>
          <w:rFonts w:ascii="宋体" w:hAnsi="宋体" w:eastAsia="宋体" w:cs="宋体"/>
          <w:kern w:val="0"/>
          <w:sz w:val="24"/>
          <w:szCs w:val="24"/>
          <w:highlight w:val="none"/>
        </w:rPr>
      </w:pPr>
    </w:p>
    <w:p w14:paraId="53449B61">
      <w:pPr>
        <w:widowControl/>
        <w:adjustRightInd w:val="0"/>
        <w:spacing w:after="200" w:line="500" w:lineRule="exact"/>
        <w:ind w:firstLine="240" w:firstLineChars="10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518F3C6D">
      <w:pPr>
        <w:widowControl/>
        <w:spacing w:after="200" w:line="500" w:lineRule="exact"/>
        <w:ind w:firstLine="240" w:firstLineChars="1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法定代表人或授权代理人（签字或盖章）</w:t>
      </w:r>
    </w:p>
    <w:p w14:paraId="0A1AAC96">
      <w:pPr>
        <w:widowControl/>
        <w:spacing w:after="200" w:line="500" w:lineRule="exact"/>
        <w:ind w:firstLine="240" w:firstLineChars="1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7D66F3E0">
      <w:pPr>
        <w:spacing w:after="200" w:line="580" w:lineRule="exact"/>
        <w:rPr>
          <w:rFonts w:ascii="Arial" w:hAnsi="宋体" w:eastAsia="Arial" w:cs="Times New Roman"/>
          <w:b/>
          <w:sz w:val="32"/>
          <w:szCs w:val="32"/>
          <w:highlight w:val="none"/>
        </w:rPr>
      </w:pPr>
      <w:r>
        <w:rPr>
          <w:rFonts w:ascii="Arial" w:hAnsi="宋体" w:eastAsia="Arial" w:cs="Times New Roman"/>
          <w:sz w:val="24"/>
          <w:szCs w:val="20"/>
          <w:highlight w:val="none"/>
        </w:rPr>
        <w:br w:type="page"/>
      </w:r>
      <w:r>
        <w:rPr>
          <w:rFonts w:hint="eastAsia" w:ascii="Arial" w:hAnsi="宋体" w:eastAsia="Arial" w:cs="Times New Roman"/>
          <w:b/>
          <w:sz w:val="32"/>
          <w:szCs w:val="32"/>
          <w:highlight w:val="none"/>
        </w:rPr>
        <w:t>3、参加政府采购活动前三年内，在经营活动中没有重大违法记录声明</w:t>
      </w:r>
    </w:p>
    <w:p w14:paraId="196D2FF9">
      <w:pPr>
        <w:widowControl/>
        <w:spacing w:after="200" w:line="580" w:lineRule="exact"/>
        <w:ind w:left="-210" w:leftChars="-100" w:right="-210" w:rightChars="-100"/>
        <w:jc w:val="left"/>
        <w:rPr>
          <w:rFonts w:ascii="宋体" w:hAnsi="宋体" w:eastAsia="Arial" w:cs="宋体"/>
          <w:b/>
          <w:kern w:val="0"/>
          <w:sz w:val="22"/>
          <w:highlight w:val="none"/>
        </w:rPr>
      </w:pPr>
    </w:p>
    <w:p w14:paraId="57F20902">
      <w:pPr>
        <w:widowControl/>
        <w:spacing w:after="200" w:line="580" w:lineRule="exact"/>
        <w:jc w:val="center"/>
        <w:rPr>
          <w:rFonts w:ascii="宋体" w:hAnsi="宋体" w:eastAsia="宋体" w:cs="宋体"/>
          <w:kern w:val="0"/>
          <w:sz w:val="24"/>
          <w:szCs w:val="24"/>
          <w:highlight w:val="none"/>
        </w:rPr>
      </w:pPr>
      <w:r>
        <w:rPr>
          <w:rFonts w:hint="eastAsia" w:ascii="宋体" w:hAnsi="宋体" w:eastAsia="宋体" w:cs="宋体"/>
          <w:b/>
          <w:kern w:val="0"/>
          <w:sz w:val="24"/>
          <w:szCs w:val="24"/>
          <w:highlight w:val="none"/>
        </w:rPr>
        <w:t>参加政府采购活动前三年内，在经营活动中没有重大违法记录声明</w:t>
      </w:r>
    </w:p>
    <w:p w14:paraId="6400CFE3">
      <w:pPr>
        <w:widowControl/>
        <w:spacing w:after="200" w:line="360" w:lineRule="auto"/>
        <w:jc w:val="left"/>
        <w:rPr>
          <w:rFonts w:ascii="宋体" w:hAnsi="宋体" w:eastAsia="宋体" w:cs="宋体"/>
          <w:kern w:val="0"/>
          <w:sz w:val="24"/>
          <w:szCs w:val="24"/>
          <w:highlight w:val="none"/>
        </w:rPr>
      </w:pPr>
    </w:p>
    <w:p w14:paraId="61065145">
      <w:pPr>
        <w:widowControl/>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致：苏州市公共资源交易中心太仓分中心：</w:t>
      </w:r>
    </w:p>
    <w:p w14:paraId="6DBE2930">
      <w:pPr>
        <w:widowControl/>
        <w:spacing w:after="200" w:line="360" w:lineRule="auto"/>
        <w:ind w:firstLine="42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我单位</w:t>
      </w:r>
      <w:r>
        <w:rPr>
          <w:rFonts w:hint="eastAsia" w:ascii="宋体" w:hAnsi="宋体" w:eastAsia="宋体" w:cs="宋体"/>
          <w:kern w:val="0"/>
          <w:sz w:val="24"/>
          <w:szCs w:val="24"/>
          <w:highlight w:val="none"/>
          <w:u w:val="single"/>
        </w:rPr>
        <w:t xml:space="preserve">         （供应商名称）        </w:t>
      </w:r>
      <w:r>
        <w:rPr>
          <w:rFonts w:hint="eastAsia" w:ascii="宋体" w:hAnsi="宋体" w:eastAsia="宋体" w:cs="宋体"/>
          <w:kern w:val="0"/>
          <w:sz w:val="24"/>
          <w:szCs w:val="24"/>
          <w:highlight w:val="none"/>
        </w:rPr>
        <w:t xml:space="preserve"> 在参加政府采购活动前三年内，没有重大违法记录，特此声明。</w:t>
      </w:r>
    </w:p>
    <w:p w14:paraId="3D8AE44B">
      <w:pPr>
        <w:widowControl/>
        <w:spacing w:after="200" w:line="360" w:lineRule="auto"/>
        <w:ind w:firstLine="42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若采购代理机构在本项目采购过程中发现我单位近三年内在经营活动中有重大违法记录，我单位将无条件退出本项目的招标，并承担因此引起的一起后果。</w:t>
      </w:r>
    </w:p>
    <w:p w14:paraId="5E4648DD">
      <w:pPr>
        <w:widowControl/>
        <w:spacing w:after="200" w:line="360" w:lineRule="auto"/>
        <w:ind w:firstLine="420"/>
        <w:jc w:val="left"/>
        <w:rPr>
          <w:rFonts w:ascii="宋体" w:hAnsi="宋体" w:eastAsia="宋体" w:cs="宋体"/>
          <w:kern w:val="0"/>
          <w:sz w:val="24"/>
          <w:szCs w:val="24"/>
          <w:highlight w:val="none"/>
        </w:rPr>
      </w:pPr>
    </w:p>
    <w:p w14:paraId="50BF9EB1">
      <w:pPr>
        <w:widowControl/>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4D57D547">
      <w:pPr>
        <w:widowControl/>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法定代表人或授权代理人（签字或盖章）：</w:t>
      </w:r>
    </w:p>
    <w:p w14:paraId="5CD3F6EF">
      <w:pPr>
        <w:widowControl/>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2EF10655">
      <w:pPr>
        <w:overflowPunct w:val="0"/>
        <w:spacing w:after="200" w:line="400" w:lineRule="exact"/>
        <w:rPr>
          <w:rFonts w:ascii="宋体" w:hAnsi="宋体" w:eastAsia="Arial" w:cs="Times New Roman"/>
          <w:sz w:val="28"/>
          <w:szCs w:val="32"/>
          <w:highlight w:val="none"/>
        </w:rPr>
      </w:pPr>
      <w:r>
        <w:rPr>
          <w:rFonts w:ascii="宋体" w:hAnsi="宋体" w:eastAsia="Arial" w:cs="Times New Roman"/>
          <w:sz w:val="22"/>
          <w:szCs w:val="24"/>
          <w:highlight w:val="none"/>
        </w:rPr>
        <w:br w:type="page"/>
      </w:r>
      <w:r>
        <w:rPr>
          <w:rFonts w:hint="eastAsia" w:ascii="宋体" w:hAnsi="宋体" w:eastAsia="Arial" w:cs="Times New Roman"/>
          <w:b/>
          <w:sz w:val="28"/>
          <w:szCs w:val="32"/>
          <w:highlight w:val="none"/>
        </w:rPr>
        <w:t>4、响应单位情况表</w:t>
      </w:r>
    </w:p>
    <w:p w14:paraId="4B0B2ECC">
      <w:pPr>
        <w:overflowPunct w:val="0"/>
        <w:spacing w:after="200" w:line="276" w:lineRule="auto"/>
        <w:ind w:left="1260" w:leftChars="600" w:firstLine="2175" w:firstLineChars="725"/>
        <w:rPr>
          <w:rFonts w:ascii="宋体" w:hAnsi="宋体" w:eastAsia="Arial" w:cs="Times New Roman"/>
          <w:sz w:val="30"/>
          <w:szCs w:val="30"/>
          <w:highlight w:val="none"/>
        </w:rPr>
      </w:pPr>
      <w:r>
        <w:rPr>
          <w:rFonts w:hint="eastAsia" w:ascii="宋体" w:hAnsi="宋体" w:eastAsia="Arial" w:cs="Times New Roman"/>
          <w:sz w:val="30"/>
          <w:szCs w:val="30"/>
          <w:highlight w:val="none"/>
        </w:rPr>
        <w:t>响应单位情况表</w:t>
      </w:r>
    </w:p>
    <w:p w14:paraId="4A41D2A5">
      <w:pPr>
        <w:overflowPunct w:val="0"/>
        <w:spacing w:after="200" w:line="276"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单位名称（盖章）：</w:t>
      </w:r>
    </w:p>
    <w:tbl>
      <w:tblPr>
        <w:tblStyle w:val="2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376"/>
        <w:gridCol w:w="1610"/>
        <w:gridCol w:w="1330"/>
        <w:gridCol w:w="2162"/>
        <w:gridCol w:w="946"/>
      </w:tblGrid>
      <w:tr w14:paraId="2E42B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3376" w:type="dxa"/>
          </w:tcPr>
          <w:p w14:paraId="6A8DD376">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法定代表人</w:t>
            </w:r>
          </w:p>
        </w:tc>
        <w:tc>
          <w:tcPr>
            <w:tcW w:w="1610" w:type="dxa"/>
          </w:tcPr>
          <w:p w14:paraId="6FB827F3">
            <w:pPr>
              <w:overflowPunct w:val="0"/>
              <w:spacing w:after="200"/>
              <w:ind w:left="1260"/>
              <w:rPr>
                <w:rFonts w:ascii="宋体" w:hAnsi="宋体" w:eastAsia="宋体" w:cs="宋体"/>
                <w:sz w:val="24"/>
                <w:szCs w:val="24"/>
                <w:highlight w:val="none"/>
                <w:lang w:eastAsia="en-US"/>
              </w:rPr>
            </w:pPr>
          </w:p>
        </w:tc>
        <w:tc>
          <w:tcPr>
            <w:tcW w:w="1330" w:type="dxa"/>
          </w:tcPr>
          <w:p w14:paraId="292B7CA3">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成立日期</w:t>
            </w:r>
          </w:p>
        </w:tc>
        <w:tc>
          <w:tcPr>
            <w:tcW w:w="3108" w:type="dxa"/>
            <w:gridSpan w:val="2"/>
          </w:tcPr>
          <w:p w14:paraId="42F1A4CC">
            <w:pPr>
              <w:overflowPunct w:val="0"/>
              <w:spacing w:after="200"/>
              <w:ind w:left="1260"/>
              <w:rPr>
                <w:rFonts w:ascii="宋体" w:hAnsi="宋体" w:eastAsia="宋体" w:cs="宋体"/>
                <w:sz w:val="24"/>
                <w:szCs w:val="24"/>
                <w:highlight w:val="none"/>
                <w:lang w:eastAsia="en-US"/>
              </w:rPr>
            </w:pPr>
          </w:p>
        </w:tc>
      </w:tr>
      <w:tr w14:paraId="624E6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74664C8F">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企业地址</w:t>
            </w:r>
          </w:p>
        </w:tc>
        <w:tc>
          <w:tcPr>
            <w:tcW w:w="1610" w:type="dxa"/>
          </w:tcPr>
          <w:p w14:paraId="5F27B3DB">
            <w:pPr>
              <w:overflowPunct w:val="0"/>
              <w:spacing w:after="200"/>
              <w:ind w:left="1260"/>
              <w:rPr>
                <w:rFonts w:ascii="宋体" w:hAnsi="宋体" w:eastAsia="宋体" w:cs="宋体"/>
                <w:sz w:val="24"/>
                <w:szCs w:val="24"/>
                <w:highlight w:val="none"/>
                <w:lang w:eastAsia="en-US"/>
              </w:rPr>
            </w:pPr>
          </w:p>
        </w:tc>
        <w:tc>
          <w:tcPr>
            <w:tcW w:w="1330" w:type="dxa"/>
          </w:tcPr>
          <w:p w14:paraId="70FC3CA5">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注册资本</w:t>
            </w:r>
          </w:p>
        </w:tc>
        <w:tc>
          <w:tcPr>
            <w:tcW w:w="3108" w:type="dxa"/>
            <w:gridSpan w:val="2"/>
          </w:tcPr>
          <w:p w14:paraId="2F4270C1">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r>
      <w:tr w14:paraId="75DE7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68B838B8">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经营范围</w:t>
            </w:r>
          </w:p>
        </w:tc>
        <w:tc>
          <w:tcPr>
            <w:tcW w:w="6048" w:type="dxa"/>
            <w:gridSpan w:val="4"/>
          </w:tcPr>
          <w:p w14:paraId="0AB49066">
            <w:pPr>
              <w:overflowPunct w:val="0"/>
              <w:spacing w:after="200"/>
              <w:ind w:left="1260"/>
              <w:rPr>
                <w:rFonts w:ascii="宋体" w:hAnsi="宋体" w:eastAsia="宋体" w:cs="宋体"/>
                <w:sz w:val="24"/>
                <w:szCs w:val="24"/>
                <w:highlight w:val="none"/>
                <w:lang w:eastAsia="en-US"/>
              </w:rPr>
            </w:pPr>
          </w:p>
        </w:tc>
      </w:tr>
      <w:tr w14:paraId="0BFDC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066F1768">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职工人数</w:t>
            </w:r>
          </w:p>
        </w:tc>
        <w:tc>
          <w:tcPr>
            <w:tcW w:w="1610" w:type="dxa"/>
          </w:tcPr>
          <w:p w14:paraId="1B429501">
            <w:pPr>
              <w:overflowPunct w:val="0"/>
              <w:spacing w:after="200"/>
              <w:rPr>
                <w:rFonts w:ascii="宋体" w:hAnsi="宋体" w:eastAsia="宋体" w:cs="宋体"/>
                <w:sz w:val="24"/>
                <w:szCs w:val="24"/>
                <w:highlight w:val="none"/>
                <w:lang w:eastAsia="en-US"/>
              </w:rPr>
            </w:pPr>
          </w:p>
        </w:tc>
        <w:tc>
          <w:tcPr>
            <w:tcW w:w="3492" w:type="dxa"/>
            <w:gridSpan w:val="2"/>
          </w:tcPr>
          <w:p w14:paraId="0247AC63">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其中：有中高级以上职称的人数</w:t>
            </w:r>
          </w:p>
        </w:tc>
        <w:tc>
          <w:tcPr>
            <w:tcW w:w="946" w:type="dxa"/>
          </w:tcPr>
          <w:p w14:paraId="4A064FAA">
            <w:pPr>
              <w:overflowPunct w:val="0"/>
              <w:spacing w:after="200"/>
              <w:ind w:left="1260"/>
              <w:rPr>
                <w:rFonts w:ascii="宋体" w:hAnsi="宋体" w:eastAsia="宋体" w:cs="宋体"/>
                <w:sz w:val="24"/>
                <w:szCs w:val="24"/>
                <w:highlight w:val="none"/>
              </w:rPr>
            </w:pPr>
          </w:p>
        </w:tc>
      </w:tr>
      <w:tr w14:paraId="0BC67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444A3FD3">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资产总计</w:t>
            </w:r>
          </w:p>
        </w:tc>
        <w:tc>
          <w:tcPr>
            <w:tcW w:w="1610" w:type="dxa"/>
            <w:vAlign w:val="center"/>
          </w:tcPr>
          <w:p w14:paraId="740C2CCB">
            <w:pPr>
              <w:overflowPunct w:val="0"/>
              <w:spacing w:after="200"/>
              <w:ind w:firstLine="120" w:firstLineChars="5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c>
          <w:tcPr>
            <w:tcW w:w="1330" w:type="dxa"/>
            <w:vAlign w:val="center"/>
          </w:tcPr>
          <w:p w14:paraId="7153DF4D">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净资产</w:t>
            </w:r>
          </w:p>
        </w:tc>
        <w:tc>
          <w:tcPr>
            <w:tcW w:w="3108" w:type="dxa"/>
            <w:gridSpan w:val="2"/>
            <w:vAlign w:val="center"/>
          </w:tcPr>
          <w:p w14:paraId="6986F559">
            <w:pPr>
              <w:overflowPunct w:val="0"/>
              <w:spacing w:after="200"/>
              <w:ind w:left="1260"/>
              <w:jc w:val="center"/>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r>
      <w:tr w14:paraId="6AB8C2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4D39A0C2">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股东权益</w:t>
            </w:r>
          </w:p>
        </w:tc>
        <w:tc>
          <w:tcPr>
            <w:tcW w:w="1610" w:type="dxa"/>
            <w:vAlign w:val="center"/>
          </w:tcPr>
          <w:p w14:paraId="49637496">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万元</w:t>
            </w:r>
          </w:p>
        </w:tc>
        <w:tc>
          <w:tcPr>
            <w:tcW w:w="1330" w:type="dxa"/>
            <w:vAlign w:val="center"/>
          </w:tcPr>
          <w:p w14:paraId="11D2C094">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销售收入</w:t>
            </w:r>
          </w:p>
        </w:tc>
        <w:tc>
          <w:tcPr>
            <w:tcW w:w="3108" w:type="dxa"/>
            <w:gridSpan w:val="2"/>
            <w:vAlign w:val="center"/>
          </w:tcPr>
          <w:p w14:paraId="66257188">
            <w:pPr>
              <w:overflowPunct w:val="0"/>
              <w:spacing w:after="200"/>
              <w:rPr>
                <w:rFonts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202</w:t>
            </w:r>
            <w:r>
              <w:rPr>
                <w:rFonts w:hint="eastAsia" w:ascii="宋体" w:hAnsi="宋体" w:eastAsia="宋体" w:cs="宋体"/>
                <w:b/>
                <w:sz w:val="24"/>
                <w:szCs w:val="24"/>
                <w:highlight w:val="none"/>
                <w:lang w:val="en-US" w:eastAsia="zh-CN"/>
              </w:rPr>
              <w:t>4</w:t>
            </w:r>
            <w:r>
              <w:rPr>
                <w:rFonts w:hint="eastAsia" w:ascii="宋体" w:hAnsi="宋体" w:eastAsia="宋体" w:cs="宋体"/>
                <w:b/>
                <w:sz w:val="24"/>
                <w:szCs w:val="24"/>
                <w:highlight w:val="none"/>
                <w:lang w:eastAsia="en-US"/>
              </w:rPr>
              <w:t>年</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eastAsia="en-US"/>
              </w:rPr>
              <w:t>万元</w:t>
            </w:r>
          </w:p>
        </w:tc>
      </w:tr>
      <w:tr w14:paraId="542F0A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3376" w:type="dxa"/>
          </w:tcPr>
          <w:p w14:paraId="54D12B51">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实现利润</w:t>
            </w:r>
          </w:p>
        </w:tc>
        <w:tc>
          <w:tcPr>
            <w:tcW w:w="1610" w:type="dxa"/>
          </w:tcPr>
          <w:p w14:paraId="2B5D3309">
            <w:pPr>
              <w:overflowPunct w:val="0"/>
              <w:spacing w:after="200"/>
              <w:rPr>
                <w:rFonts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202</w:t>
            </w:r>
            <w:r>
              <w:rPr>
                <w:rFonts w:hint="eastAsia" w:ascii="宋体" w:hAnsi="宋体" w:eastAsia="宋体" w:cs="宋体"/>
                <w:b/>
                <w:sz w:val="24"/>
                <w:szCs w:val="24"/>
                <w:highlight w:val="none"/>
                <w:lang w:val="en-US" w:eastAsia="zh-CN"/>
              </w:rPr>
              <w:t>4</w:t>
            </w:r>
            <w:r>
              <w:rPr>
                <w:rFonts w:hint="eastAsia" w:ascii="宋体" w:hAnsi="宋体" w:eastAsia="宋体" w:cs="宋体"/>
                <w:b/>
                <w:sz w:val="24"/>
                <w:szCs w:val="24"/>
                <w:highlight w:val="none"/>
                <w:lang w:eastAsia="en-US"/>
              </w:rPr>
              <w:t>年 万元</w:t>
            </w:r>
          </w:p>
        </w:tc>
        <w:tc>
          <w:tcPr>
            <w:tcW w:w="1330" w:type="dxa"/>
          </w:tcPr>
          <w:p w14:paraId="5F089C9E">
            <w:pPr>
              <w:overflowPunct w:val="0"/>
              <w:spacing w:after="200"/>
              <w:ind w:left="1260"/>
              <w:rPr>
                <w:rFonts w:ascii="宋体" w:hAnsi="宋体" w:eastAsia="宋体" w:cs="宋体"/>
                <w:sz w:val="24"/>
                <w:szCs w:val="24"/>
                <w:highlight w:val="none"/>
                <w:lang w:eastAsia="en-US"/>
              </w:rPr>
            </w:pPr>
          </w:p>
        </w:tc>
        <w:tc>
          <w:tcPr>
            <w:tcW w:w="3108" w:type="dxa"/>
            <w:gridSpan w:val="2"/>
          </w:tcPr>
          <w:p w14:paraId="75EA9898">
            <w:pPr>
              <w:overflowPunct w:val="0"/>
              <w:spacing w:after="200"/>
              <w:ind w:left="1260"/>
              <w:rPr>
                <w:rFonts w:ascii="宋体" w:hAnsi="宋体" w:eastAsia="宋体" w:cs="宋体"/>
                <w:sz w:val="24"/>
                <w:szCs w:val="24"/>
                <w:highlight w:val="none"/>
                <w:lang w:eastAsia="en-US"/>
              </w:rPr>
            </w:pPr>
          </w:p>
        </w:tc>
      </w:tr>
      <w:tr w14:paraId="0EDBC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0" w:hRule="atLeast"/>
        </w:trPr>
        <w:tc>
          <w:tcPr>
            <w:tcW w:w="3376" w:type="dxa"/>
          </w:tcPr>
          <w:p w14:paraId="3EF7906B">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营业面积（含厂房面积）</w:t>
            </w:r>
          </w:p>
        </w:tc>
        <w:tc>
          <w:tcPr>
            <w:tcW w:w="1610" w:type="dxa"/>
            <w:vAlign w:val="center"/>
          </w:tcPr>
          <w:p w14:paraId="053BA153">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en-US"/>
              </w:rPr>
              <w:t>平方米</w:t>
            </w:r>
          </w:p>
        </w:tc>
        <w:tc>
          <w:tcPr>
            <w:tcW w:w="1330" w:type="dxa"/>
          </w:tcPr>
          <w:p w14:paraId="51337672">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其中</w:t>
            </w:r>
          </w:p>
        </w:tc>
        <w:tc>
          <w:tcPr>
            <w:tcW w:w="3108" w:type="dxa"/>
            <w:gridSpan w:val="2"/>
          </w:tcPr>
          <w:p w14:paraId="1466FB57">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自有面积平方米</w:t>
            </w:r>
          </w:p>
          <w:p w14:paraId="7648F1CA">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承租面积平方米</w:t>
            </w:r>
          </w:p>
        </w:tc>
      </w:tr>
      <w:tr w14:paraId="092CA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vAlign w:val="center"/>
          </w:tcPr>
          <w:p w14:paraId="1F39A7F2">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单位简历及内设机构情况</w:t>
            </w:r>
          </w:p>
        </w:tc>
        <w:tc>
          <w:tcPr>
            <w:tcW w:w="6048" w:type="dxa"/>
            <w:gridSpan w:val="4"/>
          </w:tcPr>
          <w:p w14:paraId="18D67C8D">
            <w:pPr>
              <w:overflowPunct w:val="0"/>
              <w:spacing w:after="200"/>
              <w:rPr>
                <w:rFonts w:ascii="宋体" w:hAnsi="宋体" w:eastAsia="宋体" w:cs="宋体"/>
                <w:sz w:val="24"/>
                <w:szCs w:val="24"/>
                <w:highlight w:val="none"/>
              </w:rPr>
            </w:pPr>
          </w:p>
        </w:tc>
      </w:tr>
      <w:tr w14:paraId="0AA6CC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3376" w:type="dxa"/>
            <w:vAlign w:val="center"/>
          </w:tcPr>
          <w:p w14:paraId="09FE6CA8">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单位优势及特长</w:t>
            </w:r>
          </w:p>
        </w:tc>
        <w:tc>
          <w:tcPr>
            <w:tcW w:w="6048" w:type="dxa"/>
            <w:gridSpan w:val="4"/>
          </w:tcPr>
          <w:p w14:paraId="5D738CA7">
            <w:pPr>
              <w:overflowPunct w:val="0"/>
              <w:spacing w:after="200"/>
              <w:ind w:left="1260"/>
              <w:rPr>
                <w:rFonts w:ascii="宋体" w:hAnsi="宋体" w:eastAsia="宋体" w:cs="宋体"/>
                <w:sz w:val="24"/>
                <w:szCs w:val="24"/>
                <w:highlight w:val="none"/>
                <w:lang w:eastAsia="en-US"/>
              </w:rPr>
            </w:pPr>
          </w:p>
        </w:tc>
      </w:tr>
      <w:tr w14:paraId="358F9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58AA41A">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近两年来完成或正在履行的重大合同情况</w:t>
            </w:r>
          </w:p>
        </w:tc>
        <w:tc>
          <w:tcPr>
            <w:tcW w:w="6048" w:type="dxa"/>
            <w:gridSpan w:val="4"/>
          </w:tcPr>
          <w:p w14:paraId="30F4B85E">
            <w:pPr>
              <w:overflowPunct w:val="0"/>
              <w:spacing w:after="200"/>
              <w:ind w:left="1260"/>
              <w:rPr>
                <w:rFonts w:ascii="宋体" w:hAnsi="宋体" w:eastAsia="宋体" w:cs="宋体"/>
                <w:sz w:val="24"/>
                <w:szCs w:val="24"/>
                <w:highlight w:val="none"/>
              </w:rPr>
            </w:pPr>
          </w:p>
        </w:tc>
      </w:tr>
      <w:tr w14:paraId="7BEBA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86E841C">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最近2年内在经营过程中受到何种奖励或处分（包括情况和结果）</w:t>
            </w:r>
          </w:p>
        </w:tc>
        <w:tc>
          <w:tcPr>
            <w:tcW w:w="6048" w:type="dxa"/>
            <w:gridSpan w:val="4"/>
          </w:tcPr>
          <w:p w14:paraId="693A06E5">
            <w:pPr>
              <w:overflowPunct w:val="0"/>
              <w:spacing w:after="200"/>
              <w:ind w:left="1260"/>
              <w:rPr>
                <w:rFonts w:ascii="宋体" w:hAnsi="宋体" w:eastAsia="宋体" w:cs="宋体"/>
                <w:sz w:val="24"/>
                <w:szCs w:val="24"/>
                <w:highlight w:val="none"/>
              </w:rPr>
            </w:pPr>
          </w:p>
        </w:tc>
      </w:tr>
      <w:tr w14:paraId="35A0F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3376" w:type="dxa"/>
          </w:tcPr>
          <w:p w14:paraId="5F40E93E">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最近3年内有无因售假、售劣或是其他原因被消费者投诉或起诉的情况及说明（包括解决方式和结果）</w:t>
            </w:r>
          </w:p>
        </w:tc>
        <w:tc>
          <w:tcPr>
            <w:tcW w:w="6048" w:type="dxa"/>
            <w:gridSpan w:val="4"/>
          </w:tcPr>
          <w:p w14:paraId="4781F1BB">
            <w:pPr>
              <w:overflowPunct w:val="0"/>
              <w:spacing w:after="200"/>
              <w:ind w:left="1260"/>
              <w:rPr>
                <w:rFonts w:ascii="宋体" w:hAnsi="宋体" w:eastAsia="宋体" w:cs="宋体"/>
                <w:sz w:val="24"/>
                <w:szCs w:val="24"/>
                <w:highlight w:val="none"/>
              </w:rPr>
            </w:pPr>
          </w:p>
        </w:tc>
      </w:tr>
      <w:tr w14:paraId="5179B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05BEC253">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最近3年内主要负责人有无因经济犯罪被司法机关追究的情况及说明</w:t>
            </w:r>
          </w:p>
        </w:tc>
        <w:tc>
          <w:tcPr>
            <w:tcW w:w="6048" w:type="dxa"/>
            <w:gridSpan w:val="4"/>
          </w:tcPr>
          <w:p w14:paraId="451CA5CD">
            <w:pPr>
              <w:overflowPunct w:val="0"/>
              <w:spacing w:after="200"/>
              <w:ind w:left="1260"/>
              <w:rPr>
                <w:rFonts w:ascii="宋体" w:hAnsi="宋体" w:eastAsia="宋体" w:cs="宋体"/>
                <w:sz w:val="24"/>
                <w:szCs w:val="24"/>
                <w:highlight w:val="none"/>
              </w:rPr>
            </w:pPr>
          </w:p>
        </w:tc>
      </w:tr>
      <w:tr w14:paraId="740074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3BBA40E6">
            <w:pPr>
              <w:overflowPunct w:val="0"/>
              <w:spacing w:after="200"/>
              <w:rPr>
                <w:rFonts w:ascii="宋体" w:hAnsi="宋体" w:eastAsia="宋体" w:cs="宋体"/>
                <w:sz w:val="24"/>
                <w:szCs w:val="24"/>
                <w:highlight w:val="none"/>
              </w:rPr>
            </w:pPr>
            <w:r>
              <w:rPr>
                <w:rFonts w:hint="eastAsia" w:ascii="宋体" w:hAnsi="宋体" w:eastAsia="宋体" w:cs="宋体"/>
                <w:sz w:val="24"/>
                <w:szCs w:val="24"/>
                <w:highlight w:val="none"/>
              </w:rPr>
              <w:t>获得技术认证的工程师及简介</w:t>
            </w:r>
          </w:p>
        </w:tc>
        <w:tc>
          <w:tcPr>
            <w:tcW w:w="6048" w:type="dxa"/>
            <w:gridSpan w:val="4"/>
          </w:tcPr>
          <w:p w14:paraId="06208B55">
            <w:pPr>
              <w:overflowPunct w:val="0"/>
              <w:spacing w:after="200"/>
              <w:ind w:left="1260"/>
              <w:rPr>
                <w:rFonts w:ascii="宋体" w:hAnsi="宋体" w:eastAsia="宋体" w:cs="宋体"/>
                <w:sz w:val="24"/>
                <w:szCs w:val="24"/>
                <w:highlight w:val="none"/>
              </w:rPr>
            </w:pPr>
          </w:p>
        </w:tc>
      </w:tr>
      <w:tr w14:paraId="74947A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3376" w:type="dxa"/>
          </w:tcPr>
          <w:p w14:paraId="087F45D3">
            <w:pPr>
              <w:overflowPunct w:val="0"/>
              <w:spacing w:after="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其他需要说明的情况</w:t>
            </w:r>
          </w:p>
        </w:tc>
        <w:tc>
          <w:tcPr>
            <w:tcW w:w="6048" w:type="dxa"/>
            <w:gridSpan w:val="4"/>
          </w:tcPr>
          <w:p w14:paraId="2A6DB4F5">
            <w:pPr>
              <w:overflowPunct w:val="0"/>
              <w:spacing w:after="200"/>
              <w:ind w:left="1260"/>
              <w:rPr>
                <w:rFonts w:ascii="宋体" w:hAnsi="宋体" w:eastAsia="宋体" w:cs="宋体"/>
                <w:sz w:val="24"/>
                <w:szCs w:val="24"/>
                <w:highlight w:val="none"/>
                <w:lang w:eastAsia="en-US"/>
              </w:rPr>
            </w:pPr>
          </w:p>
        </w:tc>
      </w:tr>
    </w:tbl>
    <w:p w14:paraId="68E245B8">
      <w:pPr>
        <w:widowControl/>
        <w:spacing w:after="200" w:line="276" w:lineRule="auto"/>
        <w:jc w:val="left"/>
        <w:rPr>
          <w:rFonts w:ascii="宋体" w:hAnsi="宋体" w:eastAsia="Arial" w:cs="Times New Roman"/>
          <w:b/>
          <w:kern w:val="0"/>
          <w:sz w:val="32"/>
          <w:szCs w:val="32"/>
          <w:highlight w:val="none"/>
        </w:rPr>
      </w:pPr>
      <w:r>
        <w:rPr>
          <w:rFonts w:hint="eastAsia" w:ascii="宋体" w:hAnsi="宋体" w:eastAsia="Arial" w:cs="Times New Roman"/>
          <w:b/>
          <w:kern w:val="0"/>
          <w:sz w:val="32"/>
          <w:szCs w:val="32"/>
          <w:highlight w:val="none"/>
        </w:rPr>
        <w:br w:type="page"/>
      </w:r>
      <w:r>
        <w:rPr>
          <w:rFonts w:hint="eastAsia" w:ascii="宋体" w:hAnsi="宋体" w:eastAsia="Arial" w:cs="Times New Roman"/>
          <w:b/>
          <w:kern w:val="0"/>
          <w:sz w:val="32"/>
          <w:szCs w:val="32"/>
          <w:highlight w:val="none"/>
        </w:rPr>
        <w:t>5、法定代表人授权委托书 （如有）</w:t>
      </w:r>
    </w:p>
    <w:p w14:paraId="5DB8C58B">
      <w:pPr>
        <w:widowControl/>
        <w:overflowPunct w:val="0"/>
        <w:adjustRightInd w:val="0"/>
        <w:spacing w:after="200" w:line="276" w:lineRule="auto"/>
        <w:jc w:val="left"/>
        <w:textAlignment w:val="baseline"/>
        <w:rPr>
          <w:rFonts w:ascii="宋体" w:hAnsi="宋体" w:eastAsia="Arial" w:cs="Times New Roman"/>
          <w:kern w:val="0"/>
          <w:sz w:val="22"/>
          <w:highlight w:val="none"/>
        </w:rPr>
      </w:pPr>
    </w:p>
    <w:p w14:paraId="1259D458">
      <w:pPr>
        <w:widowControl/>
        <w:overflowPunct w:val="0"/>
        <w:adjustRightInd w:val="0"/>
        <w:spacing w:after="200" w:line="276" w:lineRule="auto"/>
        <w:ind w:firstLine="420"/>
        <w:jc w:val="center"/>
        <w:textAlignment w:val="baseline"/>
        <w:rPr>
          <w:rFonts w:ascii="宋体" w:hAnsi="宋体" w:eastAsia="Arial" w:cs="Times New Roman"/>
          <w:kern w:val="0"/>
          <w:sz w:val="22"/>
          <w:highlight w:val="none"/>
        </w:rPr>
      </w:pPr>
    </w:p>
    <w:p w14:paraId="2D692A3B">
      <w:pPr>
        <w:widowControl/>
        <w:overflowPunct w:val="0"/>
        <w:adjustRightInd w:val="0"/>
        <w:spacing w:after="200" w:line="276" w:lineRule="auto"/>
        <w:ind w:firstLine="420"/>
        <w:jc w:val="center"/>
        <w:textAlignment w:val="baseline"/>
        <w:rPr>
          <w:rFonts w:ascii="宋体" w:hAnsi="宋体" w:eastAsia="Arial" w:cs="Times New Roman"/>
          <w:kern w:val="0"/>
          <w:sz w:val="32"/>
          <w:szCs w:val="32"/>
          <w:highlight w:val="none"/>
        </w:rPr>
      </w:pPr>
      <w:r>
        <w:rPr>
          <w:rFonts w:hint="eastAsia" w:ascii="宋体" w:hAnsi="宋体" w:eastAsia="Arial" w:cs="Times New Roman"/>
          <w:kern w:val="0"/>
          <w:sz w:val="32"/>
          <w:szCs w:val="32"/>
          <w:highlight w:val="none"/>
        </w:rPr>
        <w:t>授权委托书</w:t>
      </w:r>
    </w:p>
    <w:p w14:paraId="2CE9ACB3">
      <w:pPr>
        <w:widowControl/>
        <w:overflowPunct w:val="0"/>
        <w:adjustRightInd w:val="0"/>
        <w:spacing w:after="200" w:line="276" w:lineRule="auto"/>
        <w:ind w:firstLine="420"/>
        <w:jc w:val="left"/>
        <w:textAlignment w:val="baseline"/>
        <w:rPr>
          <w:rFonts w:ascii="宋体" w:hAnsi="宋体" w:eastAsia="Arial" w:cs="Times New Roman"/>
          <w:kern w:val="0"/>
          <w:sz w:val="22"/>
          <w:highlight w:val="none"/>
        </w:rPr>
      </w:pPr>
    </w:p>
    <w:p w14:paraId="15619397">
      <w:pPr>
        <w:widowControl/>
        <w:overflowPunct w:val="0"/>
        <w:adjustRightInd w:val="0"/>
        <w:spacing w:after="200" w:line="276" w:lineRule="auto"/>
        <w:ind w:firstLine="420"/>
        <w:jc w:val="left"/>
        <w:textAlignment w:val="baseline"/>
        <w:rPr>
          <w:rFonts w:ascii="宋体" w:hAnsi="宋体" w:eastAsia="Arial" w:cs="Times New Roman"/>
          <w:kern w:val="0"/>
          <w:sz w:val="22"/>
          <w:highlight w:val="none"/>
        </w:rPr>
      </w:pPr>
    </w:p>
    <w:p w14:paraId="5448252F">
      <w:pPr>
        <w:widowControl/>
        <w:overflowPunct w:val="0"/>
        <w:adjustRightInd w:val="0"/>
        <w:spacing w:after="200" w:line="460" w:lineRule="exact"/>
        <w:ind w:firstLine="42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本授权委托书声明：我</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（姓名）系</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（响应单位名称）的法定代表人，现授权委托</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（单位名称）的</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（姓名）为我公司代理人，以本公司的名义参加</w:t>
      </w:r>
      <w:r>
        <w:rPr>
          <w:rFonts w:hint="eastAsia" w:ascii="宋体" w:hAnsi="宋体" w:eastAsia="宋体" w:cs="宋体"/>
          <w:b/>
          <w:kern w:val="0"/>
          <w:sz w:val="24"/>
          <w:szCs w:val="24"/>
          <w:highlight w:val="none"/>
          <w:u w:val="single"/>
        </w:rPr>
        <w:t>苏州市公共资源交易中心太仓分中心</w:t>
      </w:r>
      <w:r>
        <w:rPr>
          <w:rFonts w:hint="eastAsia" w:ascii="宋体" w:hAnsi="宋体" w:eastAsia="宋体" w:cs="宋体"/>
          <w:kern w:val="0"/>
          <w:sz w:val="24"/>
          <w:szCs w:val="24"/>
          <w:highlight w:val="none"/>
        </w:rPr>
        <w:t>组织实施的编号为</w:t>
      </w:r>
      <w:r>
        <w:rPr>
          <w:rFonts w:hint="eastAsia" w:ascii="宋体" w:hAnsi="宋体" w:eastAsia="宋体" w:cs="宋体"/>
          <w:b/>
          <w:kern w:val="0"/>
          <w:sz w:val="24"/>
          <w:szCs w:val="24"/>
          <w:highlight w:val="none"/>
          <w:u w:val="single"/>
          <w:lang w:eastAsia="zh-CN"/>
        </w:rPr>
        <w:t>JSZC-320585-JZCG-D2025-0147</w:t>
      </w:r>
      <w:r>
        <w:rPr>
          <w:rFonts w:hint="eastAsia" w:ascii="宋体" w:hAnsi="宋体" w:eastAsia="宋体" w:cs="宋体"/>
          <w:kern w:val="0"/>
          <w:sz w:val="24"/>
          <w:szCs w:val="24"/>
          <w:highlight w:val="none"/>
        </w:rPr>
        <w:t>号的采购活动。代理人在开标、评审、合同谈判过程中所签署的一切文件和处理与这有关的一切事务，我均予以承认。</w:t>
      </w:r>
    </w:p>
    <w:p w14:paraId="63872A5A">
      <w:pPr>
        <w:widowControl/>
        <w:overflowPunct w:val="0"/>
        <w:adjustRightInd w:val="0"/>
        <w:spacing w:after="200" w:line="460" w:lineRule="exact"/>
        <w:ind w:firstLine="42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代理人在授权委托书有效期内签署的所有文件不因授权委托的撤销而失效，除非有撤销授权委托的书面通知，本授权委托书自响应开始至合同履行完毕止。</w:t>
      </w:r>
    </w:p>
    <w:p w14:paraId="5C538214">
      <w:pPr>
        <w:widowControl/>
        <w:overflowPunct w:val="0"/>
        <w:adjustRightInd w:val="0"/>
        <w:spacing w:after="200" w:line="460" w:lineRule="exact"/>
        <w:ind w:firstLine="42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代理人无转委托权。特此委托！</w:t>
      </w:r>
    </w:p>
    <w:p w14:paraId="2809FF5F">
      <w:pPr>
        <w:widowControl/>
        <w:overflowPunct w:val="0"/>
        <w:adjustRightInd w:val="0"/>
        <w:spacing w:after="200" w:line="460" w:lineRule="exact"/>
        <w:ind w:firstLine="420"/>
        <w:jc w:val="left"/>
        <w:textAlignment w:val="baseline"/>
        <w:rPr>
          <w:rFonts w:ascii="宋体" w:hAnsi="宋体" w:eastAsia="宋体" w:cs="宋体"/>
          <w:kern w:val="0"/>
          <w:sz w:val="24"/>
          <w:szCs w:val="24"/>
          <w:highlight w:val="none"/>
        </w:rPr>
      </w:pPr>
    </w:p>
    <w:p w14:paraId="4F29534C">
      <w:pPr>
        <w:widowControl/>
        <w:overflowPunct w:val="0"/>
        <w:adjustRightInd w:val="0"/>
        <w:spacing w:after="200" w:line="46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7A812C0E">
      <w:pPr>
        <w:widowControl/>
        <w:overflowPunct w:val="0"/>
        <w:adjustRightInd w:val="0"/>
        <w:spacing w:after="200" w:line="46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法定代表人：（签字或盖章）</w:t>
      </w:r>
    </w:p>
    <w:p w14:paraId="09BA8ACA">
      <w:pPr>
        <w:widowControl/>
        <w:overflowPunct w:val="0"/>
        <w:adjustRightInd w:val="0"/>
        <w:spacing w:after="200" w:line="46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授权代理人：（签字或盖章）</w:t>
      </w:r>
    </w:p>
    <w:p w14:paraId="42698F44">
      <w:pPr>
        <w:widowControl/>
        <w:spacing w:after="200" w:line="46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响应日期：年   月   日</w:t>
      </w:r>
    </w:p>
    <w:p w14:paraId="065B820B">
      <w:pPr>
        <w:widowControl/>
        <w:adjustRightInd w:val="0"/>
        <w:spacing w:after="200" w:line="360" w:lineRule="exact"/>
        <w:jc w:val="left"/>
        <w:textAlignment w:val="baseline"/>
        <w:rPr>
          <w:rFonts w:ascii="宋体" w:hAnsi="宋体" w:eastAsia="Arial" w:cs="Times New Roman"/>
          <w:kern w:val="0"/>
          <w:sz w:val="32"/>
          <w:szCs w:val="32"/>
          <w:highlight w:val="none"/>
        </w:rPr>
      </w:pPr>
      <w:r>
        <w:rPr>
          <w:rFonts w:ascii="宋体" w:hAnsi="宋体" w:eastAsia="Arial" w:cs="Times New Roman"/>
          <w:kern w:val="0"/>
          <w:sz w:val="22"/>
          <w:szCs w:val="24"/>
          <w:highlight w:val="none"/>
        </w:rPr>
        <w:br w:type="page"/>
      </w:r>
      <w:r>
        <w:rPr>
          <w:rFonts w:hint="eastAsia" w:ascii="宋体" w:hAnsi="宋体" w:eastAsia="Arial" w:cs="Times New Roman"/>
          <w:b/>
          <w:kern w:val="0"/>
          <w:sz w:val="32"/>
          <w:szCs w:val="32"/>
          <w:highlight w:val="none"/>
        </w:rPr>
        <w:t>6、开标一览表</w:t>
      </w:r>
    </w:p>
    <w:p w14:paraId="149D48DB">
      <w:pPr>
        <w:widowControl/>
        <w:adjustRightInd w:val="0"/>
        <w:spacing w:after="200" w:line="276" w:lineRule="auto"/>
        <w:jc w:val="left"/>
        <w:textAlignment w:val="baseline"/>
        <w:rPr>
          <w:rFonts w:ascii="宋体" w:hAnsi="宋体" w:eastAsia="Arial" w:cs="Times New Roman"/>
          <w:b/>
          <w:kern w:val="0"/>
          <w:sz w:val="22"/>
          <w:highlight w:val="none"/>
        </w:rPr>
      </w:pPr>
    </w:p>
    <w:p w14:paraId="5A9B7C4E">
      <w:pPr>
        <w:widowControl/>
        <w:adjustRightInd w:val="0"/>
        <w:spacing w:after="200" w:line="276" w:lineRule="auto"/>
        <w:jc w:val="center"/>
        <w:textAlignment w:val="baseline"/>
        <w:rPr>
          <w:rFonts w:ascii="宋体" w:hAnsi="宋体" w:eastAsia="Arial" w:cs="Times New Roman"/>
          <w:kern w:val="0"/>
          <w:sz w:val="22"/>
          <w:highlight w:val="none"/>
        </w:rPr>
      </w:pPr>
    </w:p>
    <w:p w14:paraId="125F1D3A">
      <w:pPr>
        <w:widowControl/>
        <w:adjustRightInd w:val="0"/>
        <w:spacing w:after="200" w:line="276" w:lineRule="auto"/>
        <w:jc w:val="center"/>
        <w:textAlignment w:val="baseline"/>
        <w:rPr>
          <w:rFonts w:ascii="宋体" w:hAnsi="宋体" w:eastAsia="Arial" w:cs="Times New Roman"/>
          <w:kern w:val="0"/>
          <w:sz w:val="32"/>
          <w:szCs w:val="32"/>
          <w:highlight w:val="none"/>
        </w:rPr>
      </w:pPr>
      <w:r>
        <w:rPr>
          <w:rFonts w:hint="eastAsia" w:ascii="宋体" w:hAnsi="宋体" w:eastAsia="Arial" w:cs="Times New Roman"/>
          <w:b/>
          <w:kern w:val="0"/>
          <w:sz w:val="32"/>
          <w:szCs w:val="32"/>
          <w:highlight w:val="none"/>
        </w:rPr>
        <w:t>开标一览表</w:t>
      </w:r>
    </w:p>
    <w:p w14:paraId="5C51F8D3">
      <w:pPr>
        <w:widowControl/>
        <w:adjustRightInd w:val="0"/>
        <w:spacing w:after="200" w:line="276" w:lineRule="auto"/>
        <w:jc w:val="left"/>
        <w:textAlignment w:val="baseline"/>
        <w:rPr>
          <w:rFonts w:ascii="宋体" w:hAnsi="宋体" w:eastAsia="宋体" w:cs="宋体"/>
          <w:kern w:val="0"/>
          <w:sz w:val="24"/>
          <w:szCs w:val="24"/>
          <w:highlight w:val="none"/>
        </w:rPr>
      </w:pPr>
    </w:p>
    <w:p w14:paraId="71ADDE11">
      <w:pPr>
        <w:widowControl/>
        <w:adjustRightInd w:val="0"/>
        <w:spacing w:after="200" w:line="276" w:lineRule="auto"/>
        <w:ind w:firstLine="720" w:firstLineChars="300"/>
        <w:jc w:val="left"/>
        <w:textAlignment w:val="baseline"/>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项目编号：</w:t>
      </w:r>
      <w:r>
        <w:rPr>
          <w:rFonts w:hint="eastAsia" w:ascii="宋体" w:hAnsi="宋体" w:eastAsia="宋体" w:cs="宋体"/>
          <w:kern w:val="0"/>
          <w:sz w:val="24"/>
          <w:szCs w:val="24"/>
          <w:highlight w:val="none"/>
          <w:lang w:eastAsia="zh-CN"/>
        </w:rPr>
        <w:t>JSZC-320585-JZCG-D2025-0147</w:t>
      </w:r>
    </w:p>
    <w:p w14:paraId="3968F54C">
      <w:pPr>
        <w:widowControl/>
        <w:adjustRightInd w:val="0"/>
        <w:spacing w:after="200" w:line="276" w:lineRule="auto"/>
        <w:ind w:firstLine="720" w:firstLineChars="300"/>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项目名称： </w:t>
      </w:r>
      <w:r>
        <w:rPr>
          <w:rFonts w:hint="eastAsia" w:ascii="宋体" w:hAnsi="宋体" w:eastAsia="宋体" w:cs="宋体"/>
          <w:kern w:val="0"/>
          <w:sz w:val="24"/>
          <w:szCs w:val="24"/>
          <w:highlight w:val="none"/>
          <w:lang w:eastAsia="zh-CN"/>
        </w:rPr>
        <w:t>网络运维和安全服务项目</w:t>
      </w:r>
    </w:p>
    <w:tbl>
      <w:tblPr>
        <w:tblStyle w:val="26"/>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02F37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14:paraId="4D77690E">
            <w:pPr>
              <w:adjustRightInd w:val="0"/>
              <w:spacing w:line="360" w:lineRule="exact"/>
              <w:jc w:val="center"/>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60D7BEAE">
            <w:pPr>
              <w:adjustRightInd w:val="0"/>
              <w:spacing w:line="360" w:lineRule="exact"/>
              <w:jc w:val="center"/>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内容</w:t>
            </w:r>
          </w:p>
        </w:tc>
      </w:tr>
      <w:tr w14:paraId="66CDF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14:paraId="7DD439F2">
            <w:pPr>
              <w:adjustRightInd w:val="0"/>
              <w:spacing w:line="360" w:lineRule="exact"/>
              <w:jc w:val="center"/>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2D1F20DF">
            <w:pPr>
              <w:adjustRightInd w:val="0"/>
              <w:spacing w:line="360" w:lineRule="exact"/>
              <w:ind w:firstLine="2880" w:firstLineChars="1200"/>
              <w:rPr>
                <w:rFonts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元          </w:t>
            </w:r>
          </w:p>
        </w:tc>
      </w:tr>
    </w:tbl>
    <w:p w14:paraId="36494A9E">
      <w:pPr>
        <w:widowControl/>
        <w:adjustRightInd w:val="0"/>
        <w:spacing w:after="200" w:line="276" w:lineRule="auto"/>
        <w:ind w:firstLine="723" w:firstLineChars="300"/>
        <w:jc w:val="left"/>
        <w:textAlignment w:val="baseline"/>
        <w:rPr>
          <w:rFonts w:ascii="宋体" w:hAnsi="宋体" w:eastAsia="宋体" w:cs="宋体"/>
          <w:b/>
          <w:kern w:val="0"/>
          <w:sz w:val="24"/>
          <w:szCs w:val="24"/>
          <w:highlight w:val="none"/>
          <w:lang w:eastAsia="en-US"/>
        </w:rPr>
      </w:pPr>
    </w:p>
    <w:p w14:paraId="211CBD06">
      <w:pPr>
        <w:widowControl/>
        <w:wordWrap w:val="0"/>
        <w:spacing w:after="200" w:line="500" w:lineRule="exact"/>
        <w:ind w:right="960"/>
        <w:jc w:val="left"/>
        <w:rPr>
          <w:rFonts w:ascii="宋体" w:hAnsi="宋体" w:eastAsia="宋体" w:cs="宋体"/>
          <w:kern w:val="0"/>
          <w:sz w:val="24"/>
          <w:szCs w:val="24"/>
          <w:highlight w:val="none"/>
          <w:lang w:eastAsia="en-US"/>
        </w:rPr>
      </w:pPr>
    </w:p>
    <w:p w14:paraId="1FB0E528">
      <w:pPr>
        <w:widowControl/>
        <w:wordWrap w:val="0"/>
        <w:spacing w:after="200" w:line="500" w:lineRule="exact"/>
        <w:ind w:right="960" w:firstLine="3120" w:firstLineChars="13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响应单位（单位盖章）：   </w:t>
      </w:r>
    </w:p>
    <w:p w14:paraId="060D6B60">
      <w:pPr>
        <w:widowControl/>
        <w:wordWrap w:val="0"/>
        <w:spacing w:after="200" w:line="500" w:lineRule="exact"/>
        <w:ind w:right="960" w:firstLine="3120" w:firstLineChars="13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法定代表人或代理人（签字或盖章）： </w:t>
      </w:r>
    </w:p>
    <w:p w14:paraId="3320A33E">
      <w:pPr>
        <w:widowControl/>
        <w:wordWrap w:val="0"/>
        <w:spacing w:after="200" w:line="500" w:lineRule="exact"/>
        <w:ind w:right="960" w:firstLine="3120" w:firstLineChars="13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响应日期：   年  月  日 </w:t>
      </w:r>
    </w:p>
    <w:p w14:paraId="3D1A43C6">
      <w:pPr>
        <w:widowControl/>
        <w:spacing w:after="200" w:line="460" w:lineRule="exact"/>
        <w:jc w:val="left"/>
        <w:rPr>
          <w:rFonts w:ascii="宋体" w:hAnsi="宋体" w:eastAsia="宋体" w:cs="宋体"/>
          <w:b/>
          <w:kern w:val="0"/>
          <w:sz w:val="24"/>
          <w:szCs w:val="24"/>
          <w:highlight w:val="none"/>
        </w:rPr>
      </w:pPr>
    </w:p>
    <w:p w14:paraId="39C7D331">
      <w:pPr>
        <w:widowControl/>
        <w:spacing w:after="200" w:line="460" w:lineRule="exact"/>
        <w:ind w:firstLine="482" w:firstLineChars="200"/>
        <w:jc w:val="left"/>
        <w:rPr>
          <w:rFonts w:ascii="宋体" w:hAnsi="宋体" w:eastAsia="宋体" w:cs="宋体"/>
          <w:b/>
          <w:kern w:val="0"/>
          <w:sz w:val="24"/>
          <w:szCs w:val="24"/>
          <w:highlight w:val="none"/>
        </w:rPr>
      </w:pPr>
      <w:r>
        <w:rPr>
          <w:rFonts w:hint="eastAsia" w:ascii="宋体" w:hAnsi="宋体" w:eastAsia="宋体" w:cs="宋体"/>
          <w:b/>
          <w:kern w:val="0"/>
          <w:sz w:val="24"/>
          <w:szCs w:val="24"/>
          <w:highlight w:val="none"/>
        </w:rPr>
        <w:t xml:space="preserve">注： </w:t>
      </w:r>
      <w:r>
        <w:rPr>
          <w:rFonts w:hint="eastAsia" w:ascii="宋体" w:hAnsi="宋体" w:eastAsia="宋体" w:cs="宋体"/>
          <w:kern w:val="0"/>
          <w:sz w:val="24"/>
          <w:szCs w:val="24"/>
          <w:highlight w:val="none"/>
        </w:rPr>
        <w:t>响应</w:t>
      </w:r>
      <w:r>
        <w:rPr>
          <w:rFonts w:hint="eastAsia" w:ascii="宋体" w:hAnsi="宋体" w:eastAsia="宋体" w:cs="宋体"/>
          <w:kern w:val="1"/>
          <w:sz w:val="24"/>
          <w:szCs w:val="24"/>
          <w:highlight w:val="none"/>
        </w:rPr>
        <w:t>报价一次报定，包括上述货物、服务管理、人员、培训、管理、维护、保险、利润、税金、调试达到正常可使用状态、政策性文件规定及合同包含的所有风险、责任等各项应有费用。</w:t>
      </w:r>
    </w:p>
    <w:p w14:paraId="33A4B0EA">
      <w:pPr>
        <w:widowControl/>
        <w:adjustRightInd w:val="0"/>
        <w:spacing w:after="200" w:line="276" w:lineRule="auto"/>
        <w:ind w:firstLine="660" w:firstLineChars="300"/>
        <w:jc w:val="left"/>
        <w:textAlignment w:val="baseline"/>
        <w:rPr>
          <w:rFonts w:ascii="宋体" w:hAnsi="宋体" w:eastAsia="Arial" w:cs="Times New Roman"/>
          <w:b/>
          <w:kern w:val="0"/>
          <w:sz w:val="22"/>
          <w:highlight w:val="none"/>
        </w:rPr>
      </w:pPr>
    </w:p>
    <w:p w14:paraId="2BC02702">
      <w:pPr>
        <w:widowControl/>
        <w:spacing w:after="200" w:line="276" w:lineRule="auto"/>
        <w:jc w:val="left"/>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br w:type="page"/>
      </w:r>
    </w:p>
    <w:p w14:paraId="4FED384B">
      <w:pPr>
        <w:widowControl/>
        <w:snapToGrid w:val="0"/>
        <w:spacing w:after="200" w:line="276" w:lineRule="auto"/>
        <w:jc w:val="left"/>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t>7、响应报价明细表</w:t>
      </w:r>
    </w:p>
    <w:p w14:paraId="5930A69D">
      <w:pPr>
        <w:widowControl/>
        <w:snapToGrid w:val="0"/>
        <w:spacing w:after="200" w:line="276" w:lineRule="auto"/>
        <w:jc w:val="left"/>
        <w:rPr>
          <w:rFonts w:ascii="宋体" w:hAnsi="宋体" w:eastAsia="Arial" w:cs="Times New Roman"/>
          <w:b/>
          <w:kern w:val="0"/>
          <w:sz w:val="28"/>
          <w:szCs w:val="32"/>
          <w:highlight w:val="none"/>
        </w:rPr>
      </w:pPr>
    </w:p>
    <w:p w14:paraId="170DE65A">
      <w:pPr>
        <w:widowControl/>
        <w:snapToGrid w:val="0"/>
        <w:spacing w:after="200" w:line="276" w:lineRule="auto"/>
        <w:ind w:firstLine="3001" w:firstLineChars="1000"/>
        <w:jc w:val="left"/>
        <w:rPr>
          <w:rFonts w:ascii="宋体" w:hAnsi="宋体" w:eastAsia="Arial" w:cs="Times New Roman"/>
          <w:b/>
          <w:kern w:val="0"/>
          <w:sz w:val="30"/>
          <w:szCs w:val="30"/>
          <w:highlight w:val="none"/>
        </w:rPr>
      </w:pPr>
      <w:r>
        <w:rPr>
          <w:rFonts w:hint="eastAsia" w:ascii="宋体" w:hAnsi="宋体" w:eastAsia="Arial" w:cs="Times New Roman"/>
          <w:b/>
          <w:kern w:val="0"/>
          <w:sz w:val="30"/>
          <w:szCs w:val="30"/>
          <w:highlight w:val="none"/>
        </w:rPr>
        <w:t>（一）响应报价明细表</w:t>
      </w:r>
    </w:p>
    <w:p w14:paraId="1229D8D8">
      <w:pPr>
        <w:widowControl/>
        <w:snapToGrid w:val="0"/>
        <w:spacing w:after="200" w:line="276" w:lineRule="auto"/>
        <w:ind w:firstLine="2409" w:firstLineChars="1000"/>
        <w:jc w:val="left"/>
        <w:rPr>
          <w:rFonts w:ascii="宋体" w:hAnsi="宋体" w:eastAsia="宋体" w:cs="宋体"/>
          <w:b/>
          <w:kern w:val="0"/>
          <w:sz w:val="24"/>
          <w:szCs w:val="24"/>
          <w:highlight w:val="none"/>
        </w:rPr>
      </w:pPr>
    </w:p>
    <w:tbl>
      <w:tblPr>
        <w:tblStyle w:val="26"/>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14:paraId="3E0896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14:paraId="59937CFA">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14:paraId="79C13D1C">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14:paraId="19EE517C">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14:paraId="355ABEFE">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14:paraId="6A43F424">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14:paraId="22461ED8">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14:paraId="76634626">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备注</w:t>
            </w:r>
          </w:p>
        </w:tc>
      </w:tr>
      <w:tr w14:paraId="4D5D62A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14:paraId="7C856F9F">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14:paraId="76901261">
            <w:pPr>
              <w:widowControl/>
              <w:autoSpaceDE w:val="0"/>
              <w:autoSpaceDN w:val="0"/>
              <w:adjustRightInd w:val="0"/>
              <w:spacing w:after="200" w:line="380" w:lineRule="exact"/>
              <w:ind w:right="-199" w:rightChars="-95"/>
              <w:jc w:val="center"/>
              <w:rPr>
                <w:rFonts w:ascii="宋体" w:hAnsi="宋体" w:eastAsia="宋体" w:cs="宋体"/>
                <w:b/>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78C8C883">
            <w:pPr>
              <w:widowControl/>
              <w:autoSpaceDE w:val="0"/>
              <w:autoSpaceDN w:val="0"/>
              <w:adjustRightInd w:val="0"/>
              <w:spacing w:after="200" w:line="380" w:lineRule="exact"/>
              <w:jc w:val="center"/>
              <w:rPr>
                <w:rFonts w:ascii="宋体" w:hAnsi="宋体" w:eastAsia="宋体" w:cs="宋体"/>
                <w:b/>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7F47FCAA">
            <w:pPr>
              <w:widowControl/>
              <w:autoSpaceDE w:val="0"/>
              <w:autoSpaceDN w:val="0"/>
              <w:adjustRightInd w:val="0"/>
              <w:spacing w:after="200" w:line="380" w:lineRule="exact"/>
              <w:jc w:val="center"/>
              <w:rPr>
                <w:rFonts w:ascii="宋体" w:hAnsi="宋体" w:eastAsia="宋体" w:cs="宋体"/>
                <w:b/>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7EDC6AB2">
            <w:pPr>
              <w:widowControl/>
              <w:autoSpaceDE w:val="0"/>
              <w:autoSpaceDN w:val="0"/>
              <w:adjustRightInd w:val="0"/>
              <w:spacing w:after="200" w:line="380" w:lineRule="exact"/>
              <w:jc w:val="center"/>
              <w:rPr>
                <w:rFonts w:ascii="宋体" w:hAnsi="宋体" w:eastAsia="宋体" w:cs="宋体"/>
                <w:b/>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5C298BD8">
            <w:pPr>
              <w:widowControl/>
              <w:autoSpaceDE w:val="0"/>
              <w:autoSpaceDN w:val="0"/>
              <w:adjustRightInd w:val="0"/>
              <w:spacing w:after="200" w:line="380" w:lineRule="exact"/>
              <w:jc w:val="center"/>
              <w:rPr>
                <w:rFonts w:ascii="宋体" w:hAnsi="宋体" w:eastAsia="宋体" w:cs="宋体"/>
                <w:b/>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2213C928">
            <w:pPr>
              <w:widowControl/>
              <w:autoSpaceDE w:val="0"/>
              <w:autoSpaceDN w:val="0"/>
              <w:adjustRightInd w:val="0"/>
              <w:spacing w:after="200" w:line="380" w:lineRule="exact"/>
              <w:jc w:val="center"/>
              <w:rPr>
                <w:rFonts w:ascii="宋体" w:hAnsi="宋体" w:eastAsia="宋体" w:cs="宋体"/>
                <w:b/>
                <w:bCs/>
                <w:kern w:val="0"/>
                <w:sz w:val="24"/>
                <w:szCs w:val="24"/>
                <w:highlight w:val="none"/>
                <w:lang w:eastAsia="en-US"/>
              </w:rPr>
            </w:pPr>
          </w:p>
        </w:tc>
      </w:tr>
      <w:tr w14:paraId="3D1360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45197179">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14:paraId="6027AE71">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3882DC85">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4A8E418B">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48A4109D">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34233D9F">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687F1A83">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r>
      <w:tr w14:paraId="5D51C6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02F7F639">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14:paraId="49C7F052">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4ED4AB80">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021EBAC3">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5302C1A1">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33980E8A">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1ED129E0">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r>
      <w:tr w14:paraId="2315BF1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3FDCF692">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14:paraId="57D79F07">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14:paraId="008E0F38">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0D407E02">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13E241AC">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4DA37733">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6077FCFF">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p>
        </w:tc>
      </w:tr>
      <w:tr w14:paraId="74C56C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14:paraId="277D722D">
            <w:pPr>
              <w:widowControl/>
              <w:autoSpaceDE w:val="0"/>
              <w:autoSpaceDN w:val="0"/>
              <w:adjustRightInd w:val="0"/>
              <w:spacing w:after="200" w:line="276" w:lineRule="auto"/>
              <w:jc w:val="center"/>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14:paraId="421DF109">
            <w:pPr>
              <w:widowControl/>
              <w:autoSpaceDE w:val="0"/>
              <w:autoSpaceDN w:val="0"/>
              <w:adjustRightInd w:val="0"/>
              <w:spacing w:after="200" w:line="276" w:lineRule="auto"/>
              <w:jc w:val="left"/>
              <w:rPr>
                <w:rFonts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大写：       元 ； 小写：        元</w:t>
            </w:r>
          </w:p>
        </w:tc>
      </w:tr>
    </w:tbl>
    <w:p w14:paraId="7AF9CAA3">
      <w:pPr>
        <w:widowControl/>
        <w:snapToGrid w:val="0"/>
        <w:spacing w:after="200" w:line="50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注：本表报价的合计金额应与开标一览表报价一致</w:t>
      </w:r>
    </w:p>
    <w:p w14:paraId="44062A38">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50AFA5ED">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法定代表人或委托代理人（签字或盖章）： </w:t>
      </w:r>
    </w:p>
    <w:p w14:paraId="3A409041">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5F3164F7">
      <w:pPr>
        <w:rPr>
          <w:rFonts w:ascii="Arial" w:hAnsi="Arial" w:eastAsia="Arial" w:cs="Times New Roman"/>
          <w:sz w:val="24"/>
          <w:szCs w:val="20"/>
          <w:highlight w:val="none"/>
        </w:rPr>
      </w:pPr>
      <w:r>
        <w:rPr>
          <w:rFonts w:ascii="Arial" w:hAnsi="Arial" w:eastAsia="Arial" w:cs="Times New Roman"/>
          <w:sz w:val="24"/>
          <w:szCs w:val="20"/>
          <w:highlight w:val="none"/>
        </w:rPr>
        <w:br w:type="page"/>
      </w:r>
    </w:p>
    <w:p w14:paraId="3B2F4D9D">
      <w:pPr>
        <w:pStyle w:val="2"/>
      </w:pPr>
    </w:p>
    <w:p w14:paraId="57030307">
      <w:pPr>
        <w:widowControl/>
        <w:spacing w:after="200" w:line="276" w:lineRule="auto"/>
        <w:ind w:firstLine="1501" w:firstLineChars="500"/>
        <w:jc w:val="left"/>
        <w:rPr>
          <w:rFonts w:ascii="宋体" w:hAnsi="宋体" w:eastAsia="Arial" w:cs="Times New Roman"/>
          <w:b/>
          <w:kern w:val="0"/>
          <w:sz w:val="22"/>
          <w:szCs w:val="24"/>
          <w:highlight w:val="none"/>
        </w:rPr>
      </w:pPr>
      <w:r>
        <w:rPr>
          <w:rFonts w:hint="eastAsia" w:ascii="宋体" w:hAnsi="宋体" w:eastAsia="Arial" w:cs="Times New Roman"/>
          <w:b/>
          <w:kern w:val="0"/>
          <w:sz w:val="30"/>
          <w:szCs w:val="30"/>
          <w:highlight w:val="none"/>
        </w:rPr>
        <w:t>（二）响应报价合理性说明（如有）</w:t>
      </w:r>
    </w:p>
    <w:p w14:paraId="7CE65AE9">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注：根据 “采购人须知” 第 26.7 项条款规定，若投标人的投标（响应）报价满足以下任一条件：</w:t>
      </w:r>
    </w:p>
    <w:p w14:paraId="31F33468">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1）低于采购项目预算的 50%；</w:t>
      </w:r>
    </w:p>
    <w:p w14:paraId="28E58485">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2）低于采购项目最高限价的 45%（即投标 / 响应报价＜采购项目最高限价 ×45%），</w:t>
      </w:r>
    </w:p>
    <w:p w14:paraId="6F4F9CF8">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请投标人提前在投标文件中提供与报价合理性相关的材料，包括但不限于项目具体成本测算、书面说明及相关证明文件，对投标（响应）价格作出详细解释。</w:t>
      </w:r>
    </w:p>
    <w:p w14:paraId="36B31FBF">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评审委员会将结合同类产品在主要电商平台的公开价格、行业当地薪资水平等客观依据，凭借专业经验对供应商报价的合理性进行综合判定。若投标（响应）供应商未按要求提供书面说明及证明材料，或提供的材料无法证明其报价合理性，评审委员会将按无效投标（响应）处理。</w:t>
      </w:r>
    </w:p>
    <w:p w14:paraId="537F16A4">
      <w:pPr>
        <w:adjustRightInd w:val="0"/>
        <w:spacing w:line="360" w:lineRule="auto"/>
        <w:jc w:val="left"/>
        <w:textAlignment w:val="baseline"/>
        <w:rPr>
          <w:rFonts w:ascii="宋体" w:hAnsi="宋体"/>
          <w:sz w:val="24"/>
          <w:szCs w:val="24"/>
        </w:rPr>
      </w:pPr>
    </w:p>
    <w:p w14:paraId="499671B6">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响应单位：（公章）</w:t>
      </w:r>
    </w:p>
    <w:p w14:paraId="376AAE33">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法定代表人或委托代理人（签字或盖章）： </w:t>
      </w:r>
    </w:p>
    <w:p w14:paraId="2B738AAF">
      <w:pPr>
        <w:widowControl/>
        <w:adjustRightInd w:val="0"/>
        <w:spacing w:after="200" w:line="500" w:lineRule="exact"/>
        <w:jc w:val="left"/>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3B398A26">
      <w:pPr>
        <w:widowControl/>
        <w:adjustRightInd w:val="0"/>
        <w:spacing w:after="200" w:line="500" w:lineRule="exact"/>
        <w:jc w:val="left"/>
        <w:textAlignment w:val="baseline"/>
        <w:rPr>
          <w:rFonts w:ascii="宋体" w:hAnsi="宋体" w:eastAsia="Arial" w:cs="Times New Roman"/>
          <w:b/>
          <w:bCs/>
          <w:kern w:val="0"/>
          <w:sz w:val="22"/>
          <w:szCs w:val="24"/>
          <w:highlight w:val="none"/>
        </w:rPr>
      </w:pPr>
      <w:r>
        <w:rPr>
          <w:rFonts w:hint="eastAsia" w:ascii="宋体" w:hAnsi="宋体" w:eastAsia="Arial" w:cs="Times New Roman"/>
          <w:kern w:val="0"/>
          <w:sz w:val="22"/>
          <w:highlight w:val="none"/>
        </w:rPr>
        <w:br w:type="page"/>
      </w:r>
      <w:r>
        <w:rPr>
          <w:rFonts w:hint="eastAsia" w:ascii="宋体" w:hAnsi="宋体" w:eastAsia="Arial" w:cs="Times New Roman"/>
          <w:b/>
          <w:bCs/>
          <w:kern w:val="0"/>
          <w:sz w:val="32"/>
          <w:szCs w:val="32"/>
          <w:highlight w:val="none"/>
        </w:rPr>
        <w:t>8、服务要求偏离表</w:t>
      </w:r>
    </w:p>
    <w:p w14:paraId="2A95D21E">
      <w:pPr>
        <w:widowControl/>
        <w:spacing w:after="200" w:line="360" w:lineRule="auto"/>
        <w:jc w:val="center"/>
        <w:rPr>
          <w:rFonts w:ascii="宋体" w:hAnsi="宋体" w:eastAsia="Arial" w:cs="Times New Roman"/>
          <w:kern w:val="0"/>
          <w:sz w:val="22"/>
          <w:highlight w:val="none"/>
          <w:lang w:eastAsia="en-US"/>
        </w:rPr>
      </w:pPr>
      <w:r>
        <w:rPr>
          <w:rFonts w:hint="eastAsia" w:ascii="宋体" w:hAnsi="宋体" w:eastAsia="Arial" w:cs="宋体"/>
          <w:b/>
          <w:kern w:val="0"/>
          <w:sz w:val="30"/>
          <w:szCs w:val="30"/>
          <w:highlight w:val="none"/>
          <w:lang w:eastAsia="en-US"/>
        </w:rPr>
        <w:t>服务要求偏离表</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4779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76074C97">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序号</w:t>
            </w:r>
          </w:p>
        </w:tc>
        <w:tc>
          <w:tcPr>
            <w:tcW w:w="2010" w:type="dxa"/>
            <w:vAlign w:val="center"/>
          </w:tcPr>
          <w:p w14:paraId="71D8512A">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内容</w:t>
            </w:r>
          </w:p>
        </w:tc>
        <w:tc>
          <w:tcPr>
            <w:tcW w:w="2526" w:type="dxa"/>
            <w:vAlign w:val="center"/>
          </w:tcPr>
          <w:p w14:paraId="1CCF632D">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采购文件</w:t>
            </w:r>
          </w:p>
          <w:p w14:paraId="3BC21C12">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技术要求</w:t>
            </w:r>
          </w:p>
        </w:tc>
        <w:tc>
          <w:tcPr>
            <w:tcW w:w="1843" w:type="dxa"/>
            <w:vAlign w:val="center"/>
          </w:tcPr>
          <w:p w14:paraId="43ADA95B">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响应文件</w:t>
            </w:r>
          </w:p>
          <w:p w14:paraId="5A15211F">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响应要求</w:t>
            </w:r>
          </w:p>
        </w:tc>
        <w:tc>
          <w:tcPr>
            <w:tcW w:w="1559" w:type="dxa"/>
            <w:vAlign w:val="center"/>
          </w:tcPr>
          <w:p w14:paraId="64F4608A">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 xml:space="preserve"> 偏离情况</w:t>
            </w:r>
          </w:p>
        </w:tc>
      </w:tr>
      <w:tr w14:paraId="23F5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38569DA">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1</w:t>
            </w:r>
          </w:p>
        </w:tc>
        <w:tc>
          <w:tcPr>
            <w:tcW w:w="2010" w:type="dxa"/>
            <w:vAlign w:val="center"/>
          </w:tcPr>
          <w:p w14:paraId="7DBD4C87">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14BA57F8">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1045EB2F">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216C2E7D">
            <w:pPr>
              <w:widowControl/>
              <w:spacing w:after="200" w:line="400" w:lineRule="atLeast"/>
              <w:jc w:val="center"/>
              <w:rPr>
                <w:rFonts w:ascii="宋体" w:hAnsi="宋体" w:eastAsia="Arial" w:cs="Times New Roman"/>
                <w:kern w:val="0"/>
                <w:sz w:val="22"/>
                <w:highlight w:val="none"/>
                <w:lang w:eastAsia="en-US"/>
              </w:rPr>
            </w:pPr>
          </w:p>
        </w:tc>
      </w:tr>
      <w:tr w14:paraId="1535C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28A4711">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2</w:t>
            </w:r>
          </w:p>
        </w:tc>
        <w:tc>
          <w:tcPr>
            <w:tcW w:w="2010" w:type="dxa"/>
            <w:vAlign w:val="center"/>
          </w:tcPr>
          <w:p w14:paraId="0BC48571">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2AFE0FBD">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8FD9D30">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5AA4D4B1">
            <w:pPr>
              <w:widowControl/>
              <w:spacing w:after="200" w:line="400" w:lineRule="atLeast"/>
              <w:jc w:val="center"/>
              <w:rPr>
                <w:rFonts w:ascii="宋体" w:hAnsi="宋体" w:eastAsia="Arial" w:cs="Times New Roman"/>
                <w:kern w:val="0"/>
                <w:sz w:val="22"/>
                <w:highlight w:val="none"/>
                <w:lang w:eastAsia="en-US"/>
              </w:rPr>
            </w:pPr>
          </w:p>
        </w:tc>
      </w:tr>
      <w:tr w14:paraId="43E7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B1A19AC">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3</w:t>
            </w:r>
          </w:p>
        </w:tc>
        <w:tc>
          <w:tcPr>
            <w:tcW w:w="2010" w:type="dxa"/>
            <w:vAlign w:val="center"/>
          </w:tcPr>
          <w:p w14:paraId="4D3739F6">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5D5FAB1B">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06AB631">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47AF07F7">
            <w:pPr>
              <w:widowControl/>
              <w:spacing w:after="200" w:line="400" w:lineRule="atLeast"/>
              <w:jc w:val="center"/>
              <w:rPr>
                <w:rFonts w:ascii="宋体" w:hAnsi="宋体" w:eastAsia="Arial" w:cs="Times New Roman"/>
                <w:kern w:val="0"/>
                <w:sz w:val="22"/>
                <w:highlight w:val="none"/>
                <w:lang w:eastAsia="en-US"/>
              </w:rPr>
            </w:pPr>
          </w:p>
        </w:tc>
      </w:tr>
      <w:tr w14:paraId="48906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6EE8CFB">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4</w:t>
            </w:r>
          </w:p>
        </w:tc>
        <w:tc>
          <w:tcPr>
            <w:tcW w:w="2010" w:type="dxa"/>
            <w:vAlign w:val="center"/>
          </w:tcPr>
          <w:p w14:paraId="114256A0">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0010FF03">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5F6B9EE1">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73036F32">
            <w:pPr>
              <w:widowControl/>
              <w:spacing w:after="200" w:line="400" w:lineRule="atLeast"/>
              <w:jc w:val="center"/>
              <w:rPr>
                <w:rFonts w:ascii="宋体" w:hAnsi="宋体" w:eastAsia="Arial" w:cs="Times New Roman"/>
                <w:kern w:val="0"/>
                <w:sz w:val="22"/>
                <w:highlight w:val="none"/>
                <w:lang w:eastAsia="en-US"/>
              </w:rPr>
            </w:pPr>
          </w:p>
        </w:tc>
      </w:tr>
      <w:tr w14:paraId="043B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5A90A0">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5</w:t>
            </w:r>
          </w:p>
        </w:tc>
        <w:tc>
          <w:tcPr>
            <w:tcW w:w="2010" w:type="dxa"/>
            <w:vAlign w:val="center"/>
          </w:tcPr>
          <w:p w14:paraId="6C280D83">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73171E26">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7B522D80">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17560B64">
            <w:pPr>
              <w:widowControl/>
              <w:spacing w:after="200" w:line="400" w:lineRule="atLeast"/>
              <w:jc w:val="center"/>
              <w:rPr>
                <w:rFonts w:ascii="宋体" w:hAnsi="宋体" w:eastAsia="Arial" w:cs="Times New Roman"/>
                <w:kern w:val="0"/>
                <w:sz w:val="22"/>
                <w:highlight w:val="none"/>
                <w:lang w:eastAsia="en-US"/>
              </w:rPr>
            </w:pPr>
          </w:p>
        </w:tc>
      </w:tr>
      <w:tr w14:paraId="36902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F44D2E7">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6</w:t>
            </w:r>
          </w:p>
        </w:tc>
        <w:tc>
          <w:tcPr>
            <w:tcW w:w="2010" w:type="dxa"/>
            <w:vAlign w:val="center"/>
          </w:tcPr>
          <w:p w14:paraId="62582135">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3F04850B">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380FBD60">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69C102E7">
            <w:pPr>
              <w:widowControl/>
              <w:spacing w:after="200" w:line="400" w:lineRule="atLeast"/>
              <w:jc w:val="center"/>
              <w:rPr>
                <w:rFonts w:ascii="宋体" w:hAnsi="宋体" w:eastAsia="Arial" w:cs="Times New Roman"/>
                <w:kern w:val="0"/>
                <w:sz w:val="22"/>
                <w:highlight w:val="none"/>
                <w:lang w:eastAsia="en-US"/>
              </w:rPr>
            </w:pPr>
          </w:p>
        </w:tc>
      </w:tr>
      <w:tr w14:paraId="3C162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9E75687">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7</w:t>
            </w:r>
          </w:p>
        </w:tc>
        <w:tc>
          <w:tcPr>
            <w:tcW w:w="2010" w:type="dxa"/>
            <w:vAlign w:val="center"/>
          </w:tcPr>
          <w:p w14:paraId="144E2AFE">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221314B7">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5B65698">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1F30FC64">
            <w:pPr>
              <w:widowControl/>
              <w:spacing w:after="200" w:line="400" w:lineRule="atLeast"/>
              <w:jc w:val="center"/>
              <w:rPr>
                <w:rFonts w:ascii="宋体" w:hAnsi="宋体" w:eastAsia="Arial" w:cs="Times New Roman"/>
                <w:kern w:val="0"/>
                <w:sz w:val="22"/>
                <w:highlight w:val="none"/>
                <w:lang w:eastAsia="en-US"/>
              </w:rPr>
            </w:pPr>
          </w:p>
        </w:tc>
      </w:tr>
      <w:tr w14:paraId="7546A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044A9A8">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8</w:t>
            </w:r>
          </w:p>
        </w:tc>
        <w:tc>
          <w:tcPr>
            <w:tcW w:w="2010" w:type="dxa"/>
            <w:vAlign w:val="center"/>
          </w:tcPr>
          <w:p w14:paraId="3EB641A8">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370383D7">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BC1987C">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0CE995A4">
            <w:pPr>
              <w:widowControl/>
              <w:spacing w:after="200" w:line="400" w:lineRule="atLeast"/>
              <w:jc w:val="center"/>
              <w:rPr>
                <w:rFonts w:ascii="宋体" w:hAnsi="宋体" w:eastAsia="Arial" w:cs="Times New Roman"/>
                <w:kern w:val="0"/>
                <w:sz w:val="22"/>
                <w:highlight w:val="none"/>
                <w:lang w:eastAsia="en-US"/>
              </w:rPr>
            </w:pPr>
          </w:p>
        </w:tc>
      </w:tr>
      <w:tr w14:paraId="056B2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E359092">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w:t>
            </w:r>
          </w:p>
        </w:tc>
        <w:tc>
          <w:tcPr>
            <w:tcW w:w="2010" w:type="dxa"/>
            <w:vAlign w:val="center"/>
          </w:tcPr>
          <w:p w14:paraId="4492C881">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275D70A2">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327C1858">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7F5F1EF3">
            <w:pPr>
              <w:widowControl/>
              <w:spacing w:after="200" w:line="400" w:lineRule="atLeast"/>
              <w:jc w:val="center"/>
              <w:rPr>
                <w:rFonts w:ascii="宋体" w:hAnsi="宋体" w:eastAsia="Arial" w:cs="Times New Roman"/>
                <w:kern w:val="0"/>
                <w:sz w:val="22"/>
                <w:highlight w:val="none"/>
                <w:lang w:eastAsia="en-US"/>
              </w:rPr>
            </w:pPr>
          </w:p>
        </w:tc>
      </w:tr>
    </w:tbl>
    <w:p w14:paraId="2F9440D2">
      <w:pPr>
        <w:widowControl/>
        <w:autoSpaceDE w:val="0"/>
        <w:autoSpaceDN w:val="0"/>
        <w:adjustRightInd w:val="0"/>
        <w:snapToGrid w:val="0"/>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注：</w:t>
      </w:r>
      <w:r>
        <w:rPr>
          <w:rFonts w:hint="eastAsia" w:ascii="宋体" w:hAnsi="宋体" w:eastAsia="宋体" w:cs="宋体"/>
          <w:kern w:val="0"/>
          <w:sz w:val="24"/>
          <w:szCs w:val="24"/>
          <w:highlight w:val="none"/>
        </w:rPr>
        <w:t>1.响应人应在本表中对照采购文件服务要求与实际响应服务要求逐项对应列出，并在“偏离说明”项下填写以下内容：优于的，填写“正偏离”；符合的，填写“无偏离”；低于的，填写“负偏离”。</w:t>
      </w:r>
    </w:p>
    <w:p w14:paraId="661000C8">
      <w:pPr>
        <w:widowControl/>
        <w:adjustRightInd w:val="0"/>
        <w:snapToGrid w:val="0"/>
        <w:spacing w:after="200"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2.若事项较多，响应人可根据响应内容的实际情况另纸说明。</w:t>
      </w:r>
    </w:p>
    <w:p w14:paraId="30F0B1C0">
      <w:pPr>
        <w:widowControl/>
        <w:adjustRightInd w:val="0"/>
        <w:snapToGrid w:val="0"/>
        <w:spacing w:after="200" w:line="460" w:lineRule="exact"/>
        <w:jc w:val="left"/>
        <w:rPr>
          <w:rFonts w:ascii="宋体" w:hAnsi="宋体" w:eastAsia="宋体" w:cs="宋体"/>
          <w:kern w:val="0"/>
          <w:sz w:val="24"/>
          <w:szCs w:val="24"/>
          <w:highlight w:val="none"/>
        </w:rPr>
      </w:pPr>
    </w:p>
    <w:p w14:paraId="3001B746">
      <w:pPr>
        <w:widowControl/>
        <w:adjustRightInd w:val="0"/>
        <w:snapToGrid w:val="0"/>
        <w:spacing w:after="200" w:line="46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30A54F2F">
      <w:pPr>
        <w:widowControl/>
        <w:adjustRightInd w:val="0"/>
        <w:snapToGrid w:val="0"/>
        <w:spacing w:after="200" w:line="460" w:lineRule="exact"/>
        <w:jc w:val="left"/>
        <w:rPr>
          <w:rFonts w:ascii="宋体" w:hAnsi="宋体" w:eastAsia="宋体" w:cs="宋体"/>
          <w:bCs/>
          <w:kern w:val="0"/>
          <w:sz w:val="24"/>
          <w:szCs w:val="24"/>
          <w:highlight w:val="none"/>
        </w:rPr>
      </w:pPr>
      <w:r>
        <w:rPr>
          <w:rFonts w:hint="eastAsia" w:ascii="宋体" w:hAnsi="宋体" w:eastAsia="宋体" w:cs="宋体"/>
          <w:kern w:val="0"/>
          <w:sz w:val="24"/>
          <w:szCs w:val="24"/>
          <w:highlight w:val="none"/>
        </w:rPr>
        <w:t>法定代表人或代理人（签字或盖章）</w:t>
      </w:r>
      <w:r>
        <w:rPr>
          <w:rFonts w:hint="eastAsia" w:ascii="宋体" w:hAnsi="宋体" w:eastAsia="宋体" w:cs="宋体"/>
          <w:bCs/>
          <w:kern w:val="0"/>
          <w:sz w:val="24"/>
          <w:szCs w:val="24"/>
          <w:highlight w:val="none"/>
        </w:rPr>
        <w:t>：</w:t>
      </w:r>
    </w:p>
    <w:p w14:paraId="6E8F865E">
      <w:pPr>
        <w:widowControl/>
        <w:spacing w:after="200" w:line="460" w:lineRule="exact"/>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1D3EE551">
      <w:pPr>
        <w:snapToGrid w:val="0"/>
        <w:spacing w:before="156" w:beforeLines="50" w:after="156" w:afterLines="50" w:line="360" w:lineRule="auto"/>
        <w:rPr>
          <w:rFonts w:ascii="宋体" w:hAnsi="宋体" w:eastAsia="Arial" w:cs="Times New Roman"/>
          <w:b/>
          <w:bCs/>
          <w:sz w:val="32"/>
          <w:szCs w:val="32"/>
          <w:highlight w:val="none"/>
        </w:rPr>
      </w:pPr>
    </w:p>
    <w:p w14:paraId="4936D9F3">
      <w:pPr>
        <w:snapToGrid w:val="0"/>
        <w:spacing w:before="156" w:beforeLines="50" w:after="156" w:afterLines="50" w:line="360" w:lineRule="auto"/>
        <w:rPr>
          <w:rFonts w:ascii="宋体" w:hAnsi="宋体" w:eastAsia="Arial" w:cs="Times New Roman"/>
          <w:b/>
          <w:bCs/>
          <w:sz w:val="32"/>
          <w:szCs w:val="32"/>
          <w:highlight w:val="none"/>
        </w:rPr>
      </w:pPr>
      <w:r>
        <w:rPr>
          <w:rFonts w:hint="eastAsia" w:ascii="宋体" w:hAnsi="宋体" w:eastAsia="Arial" w:cs="Times New Roman"/>
          <w:b/>
          <w:bCs/>
          <w:sz w:val="32"/>
          <w:szCs w:val="32"/>
          <w:highlight w:val="none"/>
        </w:rPr>
        <w:t>9、商务偏离表</w:t>
      </w:r>
    </w:p>
    <w:p w14:paraId="581F9368">
      <w:pPr>
        <w:widowControl/>
        <w:snapToGrid w:val="0"/>
        <w:spacing w:after="200" w:line="360" w:lineRule="auto"/>
        <w:jc w:val="center"/>
        <w:rPr>
          <w:rFonts w:ascii="宋体" w:hAnsi="宋体" w:eastAsia="Arial" w:cs="Times New Roman"/>
          <w:b/>
          <w:spacing w:val="20"/>
          <w:kern w:val="0"/>
          <w:sz w:val="32"/>
          <w:szCs w:val="32"/>
          <w:highlight w:val="none"/>
          <w:lang w:eastAsia="en-US"/>
        </w:rPr>
      </w:pPr>
      <w:r>
        <w:rPr>
          <w:rFonts w:hint="eastAsia" w:ascii="宋体" w:hAnsi="宋体" w:eastAsia="Arial" w:cs="Times New Roman"/>
          <w:b/>
          <w:spacing w:val="20"/>
          <w:kern w:val="0"/>
          <w:sz w:val="32"/>
          <w:szCs w:val="32"/>
          <w:highlight w:val="none"/>
          <w:lang w:eastAsia="en-US"/>
        </w:rPr>
        <w:t>商务条款偏离表</w:t>
      </w:r>
    </w:p>
    <w:tbl>
      <w:tblPr>
        <w:tblStyle w:val="2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115A85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C023B05">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2C4A2465">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57981F02">
            <w:pPr>
              <w:widowControl/>
              <w:snapToGrid w:val="0"/>
              <w:spacing w:after="200" w:line="360" w:lineRule="auto"/>
              <w:jc w:val="center"/>
              <w:rPr>
                <w:rFonts w:ascii="宋体" w:hAnsi="宋体" w:eastAsia="Arial" w:cs="Times New Roman"/>
                <w:bCs/>
                <w:kern w:val="0"/>
                <w:sz w:val="22"/>
                <w:szCs w:val="24"/>
                <w:highlight w:val="none"/>
                <w:lang w:eastAsia="en-US"/>
              </w:rPr>
            </w:pPr>
            <w:r>
              <w:rPr>
                <w:rFonts w:ascii="宋体" w:hAnsi="宋体" w:eastAsia="Arial" w:cs="宋体"/>
                <w:kern w:val="1"/>
                <w:sz w:val="22"/>
                <w:szCs w:val="24"/>
                <w:highlight w:val="none"/>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38796AB4">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宋体"/>
                <w:kern w:val="1"/>
                <w:sz w:val="22"/>
                <w:szCs w:val="24"/>
                <w:highlight w:val="none"/>
                <w:lang w:eastAsia="en-US"/>
              </w:rPr>
              <w:t>响应</w:t>
            </w:r>
            <w:r>
              <w:rPr>
                <w:rFonts w:ascii="宋体" w:hAnsi="宋体" w:eastAsia="Arial" w:cs="宋体"/>
                <w:kern w:val="1"/>
                <w:sz w:val="22"/>
                <w:szCs w:val="24"/>
                <w:highlight w:val="none"/>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282D04E9">
            <w:pPr>
              <w:widowControl/>
              <w:snapToGrid w:val="0"/>
              <w:spacing w:after="200" w:line="360" w:lineRule="auto"/>
              <w:jc w:val="center"/>
              <w:rPr>
                <w:rFonts w:ascii="宋体" w:hAnsi="宋体" w:eastAsia="Arial" w:cs="宋体"/>
                <w:kern w:val="1"/>
                <w:sz w:val="22"/>
                <w:szCs w:val="24"/>
                <w:highlight w:val="none"/>
                <w:lang w:eastAsia="en-US"/>
              </w:rPr>
            </w:pPr>
            <w:r>
              <w:rPr>
                <w:rFonts w:hint="eastAsia" w:ascii="宋体" w:hAnsi="宋体" w:eastAsia="Arial" w:cs="宋体"/>
                <w:kern w:val="1"/>
                <w:sz w:val="22"/>
                <w:szCs w:val="24"/>
                <w:highlight w:val="none"/>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52D18A3B">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备注</w:t>
            </w:r>
          </w:p>
        </w:tc>
      </w:tr>
      <w:tr w14:paraId="03218E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161AFF0">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1</w:t>
            </w:r>
          </w:p>
        </w:tc>
        <w:tc>
          <w:tcPr>
            <w:tcW w:w="2213" w:type="dxa"/>
            <w:tcBorders>
              <w:top w:val="single" w:color="auto" w:sz="8" w:space="0"/>
              <w:left w:val="single" w:color="auto" w:sz="8" w:space="0"/>
              <w:bottom w:val="single" w:color="auto" w:sz="8" w:space="0"/>
              <w:right w:val="single" w:color="auto" w:sz="8" w:space="0"/>
            </w:tcBorders>
          </w:tcPr>
          <w:p w14:paraId="0B2E7B6D">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229E3D1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7023559C">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5AD8EC2E">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781B8A22">
            <w:pPr>
              <w:widowControl/>
              <w:snapToGrid w:val="0"/>
              <w:spacing w:after="200" w:line="360" w:lineRule="auto"/>
              <w:jc w:val="left"/>
              <w:rPr>
                <w:rFonts w:ascii="宋体" w:hAnsi="宋体" w:eastAsia="Arial" w:cs="Times New Roman"/>
                <w:kern w:val="0"/>
                <w:sz w:val="22"/>
                <w:szCs w:val="24"/>
                <w:highlight w:val="none"/>
                <w:lang w:eastAsia="en-US"/>
              </w:rPr>
            </w:pPr>
          </w:p>
        </w:tc>
      </w:tr>
      <w:tr w14:paraId="33BAB1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766A521">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2</w:t>
            </w:r>
          </w:p>
        </w:tc>
        <w:tc>
          <w:tcPr>
            <w:tcW w:w="2213" w:type="dxa"/>
            <w:tcBorders>
              <w:top w:val="single" w:color="auto" w:sz="8" w:space="0"/>
              <w:left w:val="single" w:color="auto" w:sz="8" w:space="0"/>
              <w:bottom w:val="single" w:color="auto" w:sz="8" w:space="0"/>
              <w:right w:val="single" w:color="auto" w:sz="8" w:space="0"/>
            </w:tcBorders>
          </w:tcPr>
          <w:p w14:paraId="5BCC6492">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33B78DE">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383111E3">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0EE75B94">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7E8BD539">
            <w:pPr>
              <w:widowControl/>
              <w:snapToGrid w:val="0"/>
              <w:spacing w:after="200" w:line="360" w:lineRule="auto"/>
              <w:jc w:val="left"/>
              <w:rPr>
                <w:rFonts w:ascii="宋体" w:hAnsi="宋体" w:eastAsia="Arial" w:cs="Times New Roman"/>
                <w:kern w:val="0"/>
                <w:sz w:val="22"/>
                <w:szCs w:val="24"/>
                <w:highlight w:val="none"/>
                <w:lang w:eastAsia="en-US"/>
              </w:rPr>
            </w:pPr>
          </w:p>
        </w:tc>
      </w:tr>
      <w:tr w14:paraId="6ED246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9D56061">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3</w:t>
            </w:r>
          </w:p>
        </w:tc>
        <w:tc>
          <w:tcPr>
            <w:tcW w:w="2213" w:type="dxa"/>
            <w:tcBorders>
              <w:top w:val="single" w:color="auto" w:sz="8" w:space="0"/>
              <w:left w:val="single" w:color="auto" w:sz="8" w:space="0"/>
              <w:bottom w:val="single" w:color="auto" w:sz="8" w:space="0"/>
              <w:right w:val="single" w:color="auto" w:sz="8" w:space="0"/>
            </w:tcBorders>
          </w:tcPr>
          <w:p w14:paraId="6159A1B6">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427858C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3A39EC24">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1F47ABC">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34FAE710">
            <w:pPr>
              <w:widowControl/>
              <w:snapToGrid w:val="0"/>
              <w:spacing w:after="200" w:line="360" w:lineRule="auto"/>
              <w:jc w:val="left"/>
              <w:rPr>
                <w:rFonts w:ascii="宋体" w:hAnsi="宋体" w:eastAsia="Arial" w:cs="Times New Roman"/>
                <w:kern w:val="0"/>
                <w:sz w:val="22"/>
                <w:szCs w:val="24"/>
                <w:highlight w:val="none"/>
                <w:lang w:eastAsia="en-US"/>
              </w:rPr>
            </w:pPr>
          </w:p>
        </w:tc>
      </w:tr>
      <w:tr w14:paraId="78F01A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260A2AB">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4</w:t>
            </w:r>
          </w:p>
        </w:tc>
        <w:tc>
          <w:tcPr>
            <w:tcW w:w="2213" w:type="dxa"/>
            <w:tcBorders>
              <w:top w:val="single" w:color="auto" w:sz="8" w:space="0"/>
              <w:left w:val="single" w:color="auto" w:sz="8" w:space="0"/>
              <w:bottom w:val="single" w:color="auto" w:sz="8" w:space="0"/>
              <w:right w:val="single" w:color="auto" w:sz="8" w:space="0"/>
            </w:tcBorders>
          </w:tcPr>
          <w:p w14:paraId="46C29437">
            <w:pPr>
              <w:widowControl/>
              <w:snapToGrid w:val="0"/>
              <w:spacing w:after="200" w:line="360" w:lineRule="auto"/>
              <w:jc w:val="left"/>
              <w:rPr>
                <w:rFonts w:ascii="宋体" w:hAnsi="宋体" w:eastAsia="Arial" w:cs="Times New Roman"/>
                <w:bCs/>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361755E8">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2479840">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189C66FF">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2B4BF662">
            <w:pPr>
              <w:widowControl/>
              <w:snapToGrid w:val="0"/>
              <w:spacing w:after="200" w:line="360" w:lineRule="auto"/>
              <w:jc w:val="left"/>
              <w:rPr>
                <w:rFonts w:ascii="宋体" w:hAnsi="宋体" w:eastAsia="Arial" w:cs="Times New Roman"/>
                <w:kern w:val="0"/>
                <w:sz w:val="22"/>
                <w:szCs w:val="24"/>
                <w:highlight w:val="none"/>
                <w:lang w:eastAsia="en-US"/>
              </w:rPr>
            </w:pPr>
          </w:p>
        </w:tc>
      </w:tr>
      <w:tr w14:paraId="761DE3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41DB244">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5</w:t>
            </w:r>
          </w:p>
        </w:tc>
        <w:tc>
          <w:tcPr>
            <w:tcW w:w="2213" w:type="dxa"/>
            <w:tcBorders>
              <w:top w:val="single" w:color="auto" w:sz="8" w:space="0"/>
              <w:left w:val="single" w:color="auto" w:sz="8" w:space="0"/>
              <w:bottom w:val="single" w:color="auto" w:sz="8" w:space="0"/>
              <w:right w:val="single" w:color="auto" w:sz="8" w:space="0"/>
            </w:tcBorders>
          </w:tcPr>
          <w:p w14:paraId="301C412E">
            <w:pPr>
              <w:widowControl/>
              <w:snapToGrid w:val="0"/>
              <w:spacing w:after="200" w:line="360" w:lineRule="auto"/>
              <w:jc w:val="left"/>
              <w:rPr>
                <w:rFonts w:ascii="宋体" w:hAnsi="宋体" w:eastAsia="Arial" w:cs="Times New Roman"/>
                <w:bCs/>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5B1E9E57">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7D6E452">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96CF64D">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BBF5EDA">
            <w:pPr>
              <w:widowControl/>
              <w:snapToGrid w:val="0"/>
              <w:spacing w:after="200" w:line="360" w:lineRule="auto"/>
              <w:jc w:val="left"/>
              <w:rPr>
                <w:rFonts w:ascii="宋体" w:hAnsi="宋体" w:eastAsia="Arial" w:cs="Times New Roman"/>
                <w:kern w:val="0"/>
                <w:sz w:val="22"/>
                <w:szCs w:val="24"/>
                <w:highlight w:val="none"/>
                <w:lang w:eastAsia="en-US"/>
              </w:rPr>
            </w:pPr>
          </w:p>
        </w:tc>
      </w:tr>
      <w:tr w14:paraId="41831C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3E954CC">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6</w:t>
            </w:r>
          </w:p>
        </w:tc>
        <w:tc>
          <w:tcPr>
            <w:tcW w:w="2213" w:type="dxa"/>
            <w:tcBorders>
              <w:top w:val="single" w:color="auto" w:sz="8" w:space="0"/>
              <w:left w:val="single" w:color="auto" w:sz="8" w:space="0"/>
              <w:bottom w:val="single" w:color="auto" w:sz="8" w:space="0"/>
              <w:right w:val="single" w:color="auto" w:sz="8" w:space="0"/>
            </w:tcBorders>
          </w:tcPr>
          <w:p w14:paraId="7F9F6E76">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3DE9F48">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691C18F2">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6DFCCF11">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7733FE4E">
            <w:pPr>
              <w:widowControl/>
              <w:snapToGrid w:val="0"/>
              <w:spacing w:after="200" w:line="360" w:lineRule="auto"/>
              <w:jc w:val="left"/>
              <w:rPr>
                <w:rFonts w:ascii="宋体" w:hAnsi="宋体" w:eastAsia="Arial" w:cs="Times New Roman"/>
                <w:kern w:val="0"/>
                <w:sz w:val="22"/>
                <w:szCs w:val="24"/>
                <w:highlight w:val="none"/>
                <w:lang w:eastAsia="en-US"/>
              </w:rPr>
            </w:pPr>
          </w:p>
        </w:tc>
      </w:tr>
      <w:tr w14:paraId="09CBD8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E28C8CA">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7</w:t>
            </w:r>
          </w:p>
        </w:tc>
        <w:tc>
          <w:tcPr>
            <w:tcW w:w="2213" w:type="dxa"/>
            <w:tcBorders>
              <w:top w:val="single" w:color="auto" w:sz="8" w:space="0"/>
              <w:left w:val="single" w:color="auto" w:sz="8" w:space="0"/>
              <w:bottom w:val="single" w:color="auto" w:sz="8" w:space="0"/>
              <w:right w:val="single" w:color="auto" w:sz="8" w:space="0"/>
            </w:tcBorders>
          </w:tcPr>
          <w:p w14:paraId="2733A7A0">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4CBDB686">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2B8AFC71">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651C796A">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332B0695">
            <w:pPr>
              <w:widowControl/>
              <w:snapToGrid w:val="0"/>
              <w:spacing w:after="200" w:line="360" w:lineRule="auto"/>
              <w:jc w:val="left"/>
              <w:rPr>
                <w:rFonts w:ascii="宋体" w:hAnsi="宋体" w:eastAsia="Arial" w:cs="Times New Roman"/>
                <w:kern w:val="0"/>
                <w:sz w:val="22"/>
                <w:szCs w:val="24"/>
                <w:highlight w:val="none"/>
                <w:lang w:eastAsia="en-US"/>
              </w:rPr>
            </w:pPr>
          </w:p>
        </w:tc>
      </w:tr>
      <w:tr w14:paraId="76CF39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0119753">
            <w:pPr>
              <w:widowControl/>
              <w:snapToGrid w:val="0"/>
              <w:spacing w:after="200" w:line="360" w:lineRule="auto"/>
              <w:jc w:val="center"/>
              <w:rPr>
                <w:rFonts w:ascii="宋体" w:hAnsi="宋体" w:eastAsia="Arial" w:cs="Times New Roman"/>
                <w:bCs/>
                <w:kern w:val="0"/>
                <w:sz w:val="22"/>
                <w:szCs w:val="24"/>
                <w:highlight w:val="none"/>
                <w:lang w:eastAsia="en-US"/>
              </w:rPr>
            </w:pPr>
            <w:r>
              <w:rPr>
                <w:rFonts w:ascii="宋体" w:hAnsi="宋体" w:eastAsia="Arial" w:cs="Times New Roman"/>
                <w:bCs/>
                <w:kern w:val="0"/>
                <w:sz w:val="22"/>
                <w:szCs w:val="24"/>
                <w:highlight w:val="none"/>
                <w:lang w:eastAsia="en-US"/>
              </w:rPr>
              <w:t>…</w:t>
            </w:r>
          </w:p>
        </w:tc>
        <w:tc>
          <w:tcPr>
            <w:tcW w:w="2213" w:type="dxa"/>
            <w:tcBorders>
              <w:top w:val="single" w:color="auto" w:sz="8" w:space="0"/>
              <w:left w:val="single" w:color="auto" w:sz="8" w:space="0"/>
              <w:bottom w:val="single" w:color="auto" w:sz="8" w:space="0"/>
              <w:right w:val="single" w:color="auto" w:sz="8" w:space="0"/>
            </w:tcBorders>
          </w:tcPr>
          <w:p w14:paraId="2A3519F4">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9489F2C">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05E34DBE">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64960196">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2C90C0C1">
            <w:pPr>
              <w:widowControl/>
              <w:snapToGrid w:val="0"/>
              <w:spacing w:after="200" w:line="360" w:lineRule="auto"/>
              <w:jc w:val="left"/>
              <w:rPr>
                <w:rFonts w:ascii="宋体" w:hAnsi="宋体" w:eastAsia="Arial" w:cs="Times New Roman"/>
                <w:kern w:val="0"/>
                <w:sz w:val="22"/>
                <w:szCs w:val="24"/>
                <w:highlight w:val="none"/>
                <w:lang w:eastAsia="en-US"/>
              </w:rPr>
            </w:pPr>
          </w:p>
        </w:tc>
      </w:tr>
      <w:tr w14:paraId="3098E1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3834405">
            <w:pPr>
              <w:widowControl/>
              <w:snapToGrid w:val="0"/>
              <w:spacing w:after="200" w:line="360" w:lineRule="auto"/>
              <w:jc w:val="center"/>
              <w:rPr>
                <w:rFonts w:ascii="宋体" w:hAnsi="宋体" w:eastAsia="Arial" w:cs="Times New Roman"/>
                <w:bCs/>
                <w:kern w:val="0"/>
                <w:sz w:val="22"/>
                <w:szCs w:val="24"/>
                <w:highlight w:val="none"/>
                <w:lang w:eastAsia="en-US"/>
              </w:rPr>
            </w:pPr>
          </w:p>
        </w:tc>
        <w:tc>
          <w:tcPr>
            <w:tcW w:w="2213" w:type="dxa"/>
            <w:tcBorders>
              <w:top w:val="single" w:color="auto" w:sz="8" w:space="0"/>
              <w:left w:val="single" w:color="auto" w:sz="8" w:space="0"/>
              <w:bottom w:val="single" w:color="auto" w:sz="8" w:space="0"/>
              <w:right w:val="single" w:color="auto" w:sz="8" w:space="0"/>
            </w:tcBorders>
          </w:tcPr>
          <w:p w14:paraId="6D5996D5">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A64E571">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20825624">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69608C4E">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3BCCA84">
            <w:pPr>
              <w:widowControl/>
              <w:snapToGrid w:val="0"/>
              <w:spacing w:after="200" w:line="360" w:lineRule="auto"/>
              <w:jc w:val="left"/>
              <w:rPr>
                <w:rFonts w:ascii="宋体" w:hAnsi="宋体" w:eastAsia="Arial" w:cs="Times New Roman"/>
                <w:kern w:val="0"/>
                <w:sz w:val="22"/>
                <w:szCs w:val="24"/>
                <w:highlight w:val="none"/>
                <w:lang w:eastAsia="en-US"/>
              </w:rPr>
            </w:pPr>
          </w:p>
        </w:tc>
      </w:tr>
    </w:tbl>
    <w:p w14:paraId="684E57E4">
      <w:pPr>
        <w:widowControl/>
        <w:snapToGrid w:val="0"/>
        <w:spacing w:after="200" w:line="360" w:lineRule="auto"/>
        <w:ind w:firstLine="440" w:firstLineChars="200"/>
        <w:jc w:val="left"/>
        <w:rPr>
          <w:rFonts w:ascii="宋体" w:hAnsi="宋体" w:eastAsia="Arial" w:cs="Times New Roman"/>
          <w:b/>
          <w:kern w:val="0"/>
          <w:sz w:val="22"/>
          <w:szCs w:val="24"/>
          <w:highlight w:val="none"/>
          <w:lang w:eastAsia="en-US"/>
        </w:rPr>
      </w:pPr>
    </w:p>
    <w:p w14:paraId="68DD50A6">
      <w:pPr>
        <w:widowControl/>
        <w:autoSpaceDE w:val="0"/>
        <w:autoSpaceDN w:val="0"/>
        <w:adjustRightInd w:val="0"/>
        <w:snapToGrid w:val="0"/>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注：</w:t>
      </w:r>
      <w:r>
        <w:rPr>
          <w:rFonts w:hint="eastAsia" w:ascii="宋体" w:hAnsi="宋体" w:eastAsia="宋体" w:cs="宋体"/>
          <w:kern w:val="0"/>
          <w:sz w:val="24"/>
          <w:szCs w:val="24"/>
          <w:highlight w:val="none"/>
        </w:rPr>
        <w:t>1.供应商应在本表中把采购文件商务要求与实际响应商务要求逐项对应列出，并在“偏离说明”项下填写以下内容：优于的，填写“正偏离”；符合的，填写“无偏离”；低于的，填写“负偏离”。</w:t>
      </w:r>
    </w:p>
    <w:p w14:paraId="6D73DC8F">
      <w:pPr>
        <w:overflowPunct w:val="0"/>
        <w:spacing w:after="200" w:line="360" w:lineRule="auto"/>
        <w:rPr>
          <w:rFonts w:ascii="宋体" w:hAnsi="宋体" w:eastAsia="宋体" w:cs="宋体"/>
          <w:sz w:val="24"/>
          <w:szCs w:val="24"/>
          <w:highlight w:val="none"/>
        </w:rPr>
      </w:pPr>
      <w:r>
        <w:rPr>
          <w:rFonts w:hint="eastAsia" w:ascii="宋体" w:hAnsi="宋体" w:eastAsia="宋体" w:cs="宋体"/>
          <w:sz w:val="24"/>
          <w:szCs w:val="24"/>
          <w:highlight w:val="none"/>
        </w:rPr>
        <w:t>2.若事项较多，响应人可根据响应内容的实际情况另纸说明。</w:t>
      </w:r>
    </w:p>
    <w:p w14:paraId="4D8EBA31">
      <w:pPr>
        <w:widowControl/>
        <w:adjustRightInd w:val="0"/>
        <w:snapToGrid w:val="0"/>
        <w:spacing w:after="200" w:line="360" w:lineRule="auto"/>
        <w:jc w:val="left"/>
        <w:rPr>
          <w:rFonts w:ascii="宋体" w:hAnsi="宋体" w:eastAsia="宋体" w:cs="宋体"/>
          <w:kern w:val="0"/>
          <w:sz w:val="24"/>
          <w:szCs w:val="24"/>
          <w:highlight w:val="none"/>
        </w:rPr>
      </w:pPr>
    </w:p>
    <w:p w14:paraId="6635DAB7">
      <w:pPr>
        <w:widowControl/>
        <w:adjustRightInd w:val="0"/>
        <w:snapToGrid w:val="0"/>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3B4A3E59">
      <w:pPr>
        <w:widowControl/>
        <w:adjustRightInd w:val="0"/>
        <w:snapToGrid w:val="0"/>
        <w:spacing w:after="200" w:line="360" w:lineRule="auto"/>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法定代表人或代理人（签字或盖章）</w:t>
      </w:r>
      <w:r>
        <w:rPr>
          <w:rFonts w:hint="eastAsia" w:ascii="宋体" w:hAnsi="宋体" w:eastAsia="宋体" w:cs="宋体"/>
          <w:bCs/>
          <w:kern w:val="0"/>
          <w:sz w:val="24"/>
          <w:szCs w:val="24"/>
          <w:highlight w:val="none"/>
        </w:rPr>
        <w:t>：</w:t>
      </w:r>
    </w:p>
    <w:p w14:paraId="60D760CD">
      <w:pPr>
        <w:widowControl/>
        <w:adjustRightInd w:val="0"/>
        <w:snapToGrid w:val="0"/>
        <w:spacing w:after="200" w:line="360" w:lineRule="auto"/>
        <w:jc w:val="left"/>
        <w:rPr>
          <w:rFonts w:ascii="宋体" w:hAnsi="宋体" w:eastAsia="宋体" w:cs="宋体"/>
          <w:kern w:val="0"/>
          <w:sz w:val="24"/>
          <w:szCs w:val="24"/>
          <w:highlight w:val="none"/>
        </w:rPr>
      </w:pPr>
      <w:r>
        <w:rPr>
          <w:rFonts w:hint="eastAsia" w:ascii="宋体" w:hAnsi="宋体" w:eastAsia="宋体" w:cs="宋体"/>
          <w:bCs/>
          <w:kern w:val="0"/>
          <w:sz w:val="24"/>
          <w:szCs w:val="24"/>
          <w:highlight w:val="none"/>
        </w:rPr>
        <w:t>响应日期:   年  月   日</w:t>
      </w:r>
    </w:p>
    <w:p w14:paraId="5ACA6B58">
      <w:pPr>
        <w:widowControl/>
        <w:spacing w:after="200" w:line="276" w:lineRule="auto"/>
        <w:jc w:val="left"/>
        <w:rPr>
          <w:rFonts w:ascii="宋体" w:hAnsi="宋体" w:eastAsia="Arial" w:cs="Times New Roman"/>
          <w:b/>
          <w:kern w:val="0"/>
          <w:sz w:val="28"/>
          <w:szCs w:val="32"/>
          <w:highlight w:val="none"/>
        </w:rPr>
      </w:pPr>
      <w:r>
        <w:rPr>
          <w:rFonts w:ascii="宋体" w:hAnsi="宋体" w:eastAsia="Arial" w:cs="Times New Roman"/>
          <w:b/>
          <w:kern w:val="0"/>
          <w:sz w:val="28"/>
          <w:szCs w:val="32"/>
          <w:highlight w:val="none"/>
        </w:rPr>
        <w:br w:type="page"/>
      </w:r>
    </w:p>
    <w:p w14:paraId="7C4CFA4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w:t>
      </w:r>
      <w:r>
        <w:rPr>
          <w:rFonts w:hint="eastAsia" w:ascii="宋体" w:hAnsi="宋体" w:eastAsia="宋体" w:cs="宋体"/>
          <w:b/>
          <w:kern w:val="0"/>
          <w:sz w:val="32"/>
          <w:highlight w:val="none"/>
          <w:lang w:val="en-US" w:eastAsia="zh-CN"/>
        </w:rPr>
        <w:t>0</w:t>
      </w:r>
      <w:r>
        <w:rPr>
          <w:rFonts w:ascii="宋体" w:hAnsi="宋体" w:eastAsia="宋体" w:cs="宋体"/>
          <w:b/>
          <w:kern w:val="0"/>
          <w:sz w:val="32"/>
          <w:highlight w:val="none"/>
        </w:rPr>
        <w:t>、企业类似业绩一览表</w:t>
      </w:r>
      <w:r>
        <w:rPr>
          <w:rFonts w:hint="eastAsia" w:ascii="宋体" w:hAnsi="宋体" w:eastAsia="宋体" w:cs="宋体"/>
          <w:b/>
          <w:kern w:val="0"/>
          <w:sz w:val="32"/>
          <w:highlight w:val="none"/>
        </w:rPr>
        <w:t>（如有）</w:t>
      </w:r>
    </w:p>
    <w:p w14:paraId="4004600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28"/>
          <w:highlight w:val="none"/>
        </w:rPr>
        <w:t> </w:t>
      </w:r>
    </w:p>
    <w:p w14:paraId="5D8976B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28"/>
          <w:highlight w:val="none"/>
        </w:rPr>
        <w:t>企业类似业绩一览表</w:t>
      </w:r>
    </w:p>
    <w:tbl>
      <w:tblPr>
        <w:tblStyle w:val="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14"/>
        <w:gridCol w:w="1091"/>
        <w:gridCol w:w="1160"/>
        <w:gridCol w:w="1591"/>
        <w:gridCol w:w="1051"/>
      </w:tblGrid>
      <w:tr w14:paraId="26AEA1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7FBAD7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序号</w:t>
            </w:r>
          </w:p>
        </w:tc>
        <w:tc>
          <w:tcPr>
            <w:tcW w:w="11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29BE7F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项目名称</w:t>
            </w:r>
          </w:p>
        </w:tc>
        <w:tc>
          <w:tcPr>
            <w:tcW w:w="10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FD1862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项目时间</w:t>
            </w:r>
          </w:p>
        </w:tc>
        <w:tc>
          <w:tcPr>
            <w:tcW w:w="11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7B3C7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合同金额</w:t>
            </w:r>
          </w:p>
          <w:p w14:paraId="698E39AB">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9AEAE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489E93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备注</w:t>
            </w:r>
          </w:p>
        </w:tc>
      </w:tr>
      <w:tr w14:paraId="2CF5B4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C8C4E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1</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602F2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68A677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AE7CE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74F8D9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B3A36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067E7A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1FDF4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2</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20B03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E600C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008C1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388E1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52E85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57AA9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D8B58D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3</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A8DEA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841469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E50FFE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6F49C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D93E3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749F93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2D335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4</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709B8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7C6546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A4DFB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BDC8D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34202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6C3975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FFE1E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5</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58897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7FE9D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B6C61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71EF4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C7239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D34B0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30FA2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6</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6097E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22F237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75130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4C10C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BC819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39F05D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CB39E3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A3823D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EBEDE5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8CB3B3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5E388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8F633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18A945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E3376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035C1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FF11D6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79488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BCED6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72DDEC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7F4877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5AB75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03AB3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DD005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2BFB9D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19F43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C0E0E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bl>
    <w:p w14:paraId="46C42C27">
      <w:pPr>
        <w:widowControl/>
        <w:pBdr>
          <w:top w:val="none" w:color="000000" w:sz="0" w:space="0"/>
          <w:left w:val="none" w:color="000000" w:sz="0" w:space="0"/>
          <w:bottom w:val="none" w:color="000000" w:sz="0" w:space="0"/>
          <w:right w:val="none" w:color="000000" w:sz="0" w:space="0"/>
        </w:pBdr>
        <w:spacing w:line="439" w:lineRule="atLeast"/>
        <w:ind w:firstLine="240"/>
        <w:rPr>
          <w:rFonts w:ascii="Arial" w:hAnsi="Arial" w:eastAsia="Arial" w:cs="Times New Roman"/>
          <w:kern w:val="0"/>
          <w:sz w:val="22"/>
          <w:highlight w:val="none"/>
        </w:rPr>
      </w:pPr>
      <w:r>
        <w:rPr>
          <w:rFonts w:ascii="宋体" w:hAnsi="宋体" w:eastAsia="宋体" w:cs="宋体"/>
          <w:kern w:val="0"/>
          <w:sz w:val="24"/>
          <w:highlight w:val="none"/>
        </w:rPr>
        <w:t>附：按照</w:t>
      </w:r>
      <w:r>
        <w:rPr>
          <w:rFonts w:hint="eastAsia" w:ascii="宋体" w:hAnsi="宋体" w:eastAsia="宋体" w:cs="宋体"/>
          <w:kern w:val="0"/>
          <w:sz w:val="24"/>
          <w:highlight w:val="none"/>
        </w:rPr>
        <w:t>采购文件</w:t>
      </w:r>
      <w:r>
        <w:rPr>
          <w:rFonts w:ascii="宋体" w:hAnsi="宋体" w:eastAsia="宋体" w:cs="宋体"/>
          <w:kern w:val="0"/>
          <w:sz w:val="24"/>
          <w:highlight w:val="none"/>
        </w:rPr>
        <w:t>要求及评分标准提供相应证明材料</w:t>
      </w:r>
    </w:p>
    <w:p w14:paraId="305D9AEC">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 xml:space="preserve">响应单位（单位盖章）： </w:t>
      </w:r>
    </w:p>
    <w:p w14:paraId="5F040940">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法定代表人或代理人（签字或盖章）：</w:t>
      </w:r>
    </w:p>
    <w:p w14:paraId="54793047">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highlight w:val="none"/>
        </w:rPr>
      </w:pPr>
      <w:r>
        <w:rPr>
          <w:rFonts w:ascii="宋体" w:hAnsi="宋体" w:eastAsia="宋体" w:cs="宋体"/>
          <w:kern w:val="0"/>
          <w:sz w:val="24"/>
          <w:highlight w:val="none"/>
        </w:rPr>
        <w:t>日期：年月日</w:t>
      </w:r>
    </w:p>
    <w:p w14:paraId="398A53D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Arial" w:hAnsi="Arial" w:eastAsia="Arial" w:cs="Times New Roman"/>
          <w:kern w:val="0"/>
          <w:sz w:val="22"/>
          <w:highlight w:val="none"/>
        </w:rPr>
        <w:br w:type="page" w:clear="all"/>
      </w:r>
    </w:p>
    <w:p w14:paraId="5C2C52C9">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w:t>
      </w:r>
      <w:r>
        <w:rPr>
          <w:rFonts w:hint="eastAsia" w:ascii="宋体" w:hAnsi="宋体" w:eastAsia="宋体" w:cs="宋体"/>
          <w:b/>
          <w:kern w:val="0"/>
          <w:sz w:val="32"/>
          <w:highlight w:val="none"/>
          <w:lang w:val="en-US" w:eastAsia="zh-CN"/>
        </w:rPr>
        <w:t>1</w:t>
      </w:r>
      <w:r>
        <w:rPr>
          <w:rFonts w:ascii="宋体" w:hAnsi="宋体" w:eastAsia="宋体" w:cs="宋体"/>
          <w:b/>
          <w:kern w:val="0"/>
          <w:sz w:val="32"/>
          <w:highlight w:val="none"/>
        </w:rPr>
        <w:t>、拟投入本项目的专业技术（服务）人员情况一览表</w:t>
      </w:r>
    </w:p>
    <w:p w14:paraId="1574C892">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cs="Times New Roman"/>
          <w:kern w:val="0"/>
          <w:sz w:val="22"/>
          <w:highlight w:val="none"/>
        </w:rPr>
      </w:pPr>
      <w:r>
        <w:rPr>
          <w:rFonts w:ascii="宋体" w:hAnsi="宋体" w:eastAsia="宋体" w:cs="宋体"/>
          <w:b/>
          <w:kern w:val="0"/>
          <w:sz w:val="28"/>
          <w:highlight w:val="none"/>
        </w:rPr>
        <w:t>拟投入本项目的专业技术（服务）人员情况一览表</w:t>
      </w:r>
    </w:p>
    <w:tbl>
      <w:tblPr>
        <w:tblStyle w:val="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3D46B9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4092D64">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D5ADCA">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12D907">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2B58DC4">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388BC32">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A596C6">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5F6261E">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70C97C">
            <w:pPr>
              <w:widowControl/>
              <w:pBdr>
                <w:top w:val="none" w:color="000000" w:sz="0" w:space="0"/>
                <w:left w:val="none" w:color="000000" w:sz="0" w:space="0"/>
                <w:bottom w:val="none" w:color="000000" w:sz="0" w:space="0"/>
                <w:right w:val="none" w:color="000000" w:sz="0" w:space="0"/>
              </w:pBdr>
              <w:ind w:firstLine="211"/>
              <w:rPr>
                <w:rFonts w:ascii="Arial" w:hAnsi="Arial" w:eastAsia="Arial" w:cs="Times New Roman"/>
                <w:kern w:val="0"/>
                <w:sz w:val="22"/>
                <w:highlight w:val="none"/>
                <w:lang w:eastAsia="en-US"/>
              </w:rPr>
            </w:pPr>
            <w:r>
              <w:rPr>
                <w:rFonts w:ascii="宋体" w:hAnsi="宋体" w:eastAsia="宋体" w:cs="宋体"/>
                <w:b/>
                <w:kern w:val="0"/>
                <w:highlight w:val="none"/>
                <w:lang w:eastAsia="en-US"/>
              </w:rPr>
              <w:t>备注</w:t>
            </w:r>
          </w:p>
        </w:tc>
      </w:tr>
      <w:tr w14:paraId="4FC057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9480B8">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3C63F9B">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A8591D">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48E8A8F">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9FC820">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77CDB74">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CA425D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0BE990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74F898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67DA18">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2EF29C">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0FC8F11">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EF5F74">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7088E5C">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A9D166">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4DC6EB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C19359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715FF0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3447685">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502537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C4ACE3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0A2048C">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00F9E61">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EFADCF">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5EB182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D0E17D">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409EE6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237E4B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3C680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ED0779A">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24A3DF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119B7D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4DDE7D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E7CC2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04ABD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11D9A4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2F519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9D3A1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F70E0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0FBA2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671E2F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2F7E1C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840385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FF3EE6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78162D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1994C1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FE3F1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3054E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B5C522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3635E1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0F7908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7967C0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1C45F5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350EC2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A917A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37DD26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F129C7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EF8F18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771967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4ADC40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FA408D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F0F0EC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606735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776F19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E069E0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DAE6C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DD63F5A">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A744FF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980B83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5E0C7A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C56211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154045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A20B6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6F1245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B81BE1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8EC65E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BFED96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BE147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9E4547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A04F7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bl>
    <w:p w14:paraId="29D19E18">
      <w:pPr>
        <w:widowControl/>
        <w:pBdr>
          <w:top w:val="none" w:color="000000" w:sz="0" w:space="0"/>
          <w:left w:val="none" w:color="000000" w:sz="0" w:space="0"/>
          <w:bottom w:val="none" w:color="000000" w:sz="0" w:space="0"/>
          <w:right w:val="none" w:color="000000" w:sz="0" w:space="0"/>
        </w:pBdr>
        <w:spacing w:line="419" w:lineRule="atLeast"/>
        <w:jc w:val="left"/>
        <w:rPr>
          <w:rFonts w:ascii="Arial" w:hAnsi="Arial" w:eastAsia="Arial" w:cs="Times New Roman"/>
          <w:kern w:val="0"/>
          <w:sz w:val="22"/>
          <w:highlight w:val="none"/>
        </w:rPr>
      </w:pPr>
      <w:r>
        <w:rPr>
          <w:rFonts w:ascii="宋体" w:hAnsi="宋体" w:eastAsia="宋体" w:cs="宋体"/>
          <w:kern w:val="0"/>
          <w:sz w:val="24"/>
          <w:highlight w:val="none"/>
        </w:rPr>
        <w:t>附：1、按照</w:t>
      </w:r>
      <w:r>
        <w:rPr>
          <w:rFonts w:hint="eastAsia" w:ascii="宋体" w:hAnsi="宋体" w:eastAsia="宋体" w:cs="宋体"/>
          <w:kern w:val="0"/>
          <w:sz w:val="24"/>
          <w:highlight w:val="none"/>
        </w:rPr>
        <w:t>采购文件</w:t>
      </w:r>
      <w:r>
        <w:rPr>
          <w:rFonts w:ascii="宋体" w:hAnsi="宋体" w:eastAsia="宋体" w:cs="宋体"/>
          <w:kern w:val="0"/>
          <w:sz w:val="24"/>
          <w:highlight w:val="none"/>
        </w:rPr>
        <w:t>要求提供相应资质证明材料。</w:t>
      </w:r>
    </w:p>
    <w:p w14:paraId="6353634C">
      <w:pPr>
        <w:widowControl/>
        <w:pBdr>
          <w:top w:val="none" w:color="000000" w:sz="0" w:space="0"/>
          <w:left w:val="none" w:color="000000" w:sz="0" w:space="0"/>
          <w:bottom w:val="none" w:color="000000" w:sz="0" w:space="0"/>
          <w:right w:val="none" w:color="000000" w:sz="0" w:space="0"/>
        </w:pBdr>
        <w:spacing w:line="419" w:lineRule="atLeast"/>
        <w:rPr>
          <w:rFonts w:ascii="Arial" w:hAnsi="Arial" w:eastAsia="Arial" w:cs="Times New Roman"/>
          <w:kern w:val="0"/>
          <w:sz w:val="22"/>
          <w:highlight w:val="none"/>
        </w:rPr>
      </w:pPr>
      <w:r>
        <w:rPr>
          <w:rFonts w:ascii="宋体" w:hAnsi="宋体" w:eastAsia="宋体" w:cs="宋体"/>
          <w:kern w:val="0"/>
          <w:sz w:val="24"/>
          <w:highlight w:val="none"/>
        </w:rPr>
        <w:t> </w:t>
      </w:r>
    </w:p>
    <w:p w14:paraId="46F9BAEA">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8"/>
          <w:highlight w:val="none"/>
        </w:rPr>
        <w:t> </w:t>
      </w:r>
    </w:p>
    <w:p w14:paraId="6A582F4F">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8"/>
          <w:highlight w:val="none"/>
        </w:rPr>
        <w:t> </w:t>
      </w:r>
    </w:p>
    <w:p w14:paraId="7C628B57">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 xml:space="preserve">响应单位（单位盖章）： </w:t>
      </w:r>
    </w:p>
    <w:p w14:paraId="23D3A29A">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法定代表人或代理人（签字或盖章）</w:t>
      </w:r>
    </w:p>
    <w:p w14:paraId="6208D9B9">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4"/>
          <w:highlight w:val="none"/>
        </w:rPr>
        <w:t>日期：年月日</w:t>
      </w:r>
    </w:p>
    <w:p w14:paraId="568E5389">
      <w:pPr>
        <w:widowControl/>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kern w:val="0"/>
          <w:sz w:val="28"/>
          <w:highlight w:val="none"/>
        </w:rPr>
      </w:pPr>
    </w:p>
    <w:p w14:paraId="7B919BCA">
      <w:pPr>
        <w:widowControl/>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kern w:val="0"/>
          <w:sz w:val="28"/>
          <w:highlight w:val="none"/>
        </w:rPr>
      </w:pPr>
    </w:p>
    <w:p w14:paraId="1BAE487B">
      <w:pPr>
        <w:widowControl/>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kern w:val="0"/>
          <w:sz w:val="28"/>
          <w:highlight w:val="none"/>
        </w:rPr>
      </w:pPr>
    </w:p>
    <w:p w14:paraId="1D67F8D9">
      <w:pPr>
        <w:widowControl/>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kern w:val="0"/>
          <w:sz w:val="28"/>
          <w:highlight w:val="none"/>
        </w:rPr>
      </w:pPr>
    </w:p>
    <w:p w14:paraId="756F2148">
      <w:pPr>
        <w:spacing w:line="360" w:lineRule="auto"/>
        <w:rPr>
          <w:rFonts w:hint="eastAsia" w:ascii="宋体" w:hAnsi="宋体" w:eastAsia="宋体" w:cs="宋体"/>
          <w:b/>
          <w:kern w:val="0"/>
          <w:sz w:val="24"/>
          <w:szCs w:val="24"/>
          <w:highlight w:val="none"/>
        </w:rPr>
      </w:pPr>
    </w:p>
    <w:p w14:paraId="198D6B23">
      <w:pPr>
        <w:spacing w:line="360" w:lineRule="auto"/>
        <w:rPr>
          <w:rFonts w:hint="eastAsia" w:ascii="宋体" w:hAnsi="宋体" w:eastAsia="宋体" w:cs="宋体"/>
          <w:b/>
          <w:sz w:val="24"/>
          <w:szCs w:val="24"/>
          <w:highlight w:val="none"/>
        </w:rPr>
      </w:pPr>
      <w:r>
        <w:rPr>
          <w:rFonts w:hint="eastAsia" w:ascii="宋体" w:hAnsi="宋体" w:eastAsia="宋体" w:cs="宋体"/>
          <w:b/>
          <w:kern w:val="0"/>
          <w:sz w:val="32"/>
          <w:highlight w:val="none"/>
        </w:rPr>
        <w:t>1</w:t>
      </w:r>
      <w:r>
        <w:rPr>
          <w:rFonts w:hint="eastAsia" w:ascii="宋体" w:hAnsi="宋体" w:eastAsia="宋体" w:cs="宋体"/>
          <w:b/>
          <w:kern w:val="0"/>
          <w:sz w:val="32"/>
          <w:highlight w:val="none"/>
          <w:lang w:val="en-US" w:eastAsia="zh-CN"/>
        </w:rPr>
        <w:t>2</w:t>
      </w:r>
      <w:r>
        <w:rPr>
          <w:rFonts w:hint="eastAsia" w:ascii="宋体" w:hAnsi="宋体" w:eastAsia="宋体" w:cs="宋体"/>
          <w:b/>
          <w:kern w:val="0"/>
          <w:sz w:val="32"/>
          <w:highlight w:val="none"/>
        </w:rPr>
        <w:t>、中小企业声明函（如有）</w:t>
      </w:r>
      <w:r>
        <w:rPr>
          <w:rFonts w:hint="eastAsia" w:ascii="宋体" w:hAnsi="宋体" w:eastAsia="宋体" w:cs="宋体"/>
          <w:b/>
          <w:sz w:val="24"/>
          <w:szCs w:val="24"/>
          <w:highlight w:val="none"/>
        </w:rPr>
        <w:t xml:space="preserve">                  </w:t>
      </w:r>
    </w:p>
    <w:p w14:paraId="40933264">
      <w:pP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p>
    <w:p w14:paraId="6FBC798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中小企业声明函（服务）</w:t>
      </w:r>
    </w:p>
    <w:p w14:paraId="6269B1B2">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本公司郑重声明，根据《政府采购促进中小企业发展管理办法》（财库﹝2020﹞46号）的规定，本公司参加</w:t>
      </w:r>
      <w:r>
        <w:rPr>
          <w:rFonts w:hint="eastAsia" w:ascii="宋体" w:hAnsi="宋体" w:eastAsia="宋体" w:cs="宋体"/>
          <w:sz w:val="24"/>
          <w:szCs w:val="24"/>
          <w:highlight w:val="none"/>
          <w:u w:val="single"/>
        </w:rPr>
        <w:t>（</w:t>
      </w:r>
      <w:r>
        <w:rPr>
          <w:rFonts w:hint="eastAsia" w:ascii="宋体" w:hAnsi="宋体" w:eastAsia="宋体" w:cs="宋体"/>
          <w:i/>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i/>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采购活动，服务全部由符合政策要求的中小企业承接。相关企业的具体情况如下：</w:t>
      </w:r>
    </w:p>
    <w:p w14:paraId="5006B8C9">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i/>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软件和信息技术服务业  </w:t>
      </w:r>
      <w:r>
        <w:rPr>
          <w:rFonts w:hint="eastAsia" w:ascii="宋体" w:hAnsi="宋体" w:eastAsia="宋体" w:cs="宋体"/>
          <w:i/>
          <w:sz w:val="24"/>
          <w:szCs w:val="24"/>
          <w:highlight w:val="none"/>
        </w:rPr>
        <w:t>行业</w:t>
      </w:r>
      <w:r>
        <w:rPr>
          <w:rFonts w:hint="eastAsia" w:ascii="宋体" w:hAnsi="宋体" w:eastAsia="宋体" w:cs="宋体"/>
          <w:sz w:val="24"/>
          <w:szCs w:val="24"/>
          <w:highlight w:val="none"/>
        </w:rPr>
        <w:t>；承接企业为</w:t>
      </w:r>
      <w:r>
        <w:rPr>
          <w:rFonts w:hint="eastAsia" w:ascii="宋体" w:hAnsi="宋体" w:eastAsia="宋体" w:cs="宋体"/>
          <w:i/>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rFonts w:hint="eastAsia" w:ascii="宋体" w:hAnsi="宋体" w:eastAsia="宋体" w:cs="宋体"/>
          <w:sz w:val="24"/>
          <w:szCs w:val="24"/>
          <w:highlight w:val="none"/>
        </w:rPr>
        <w:fldChar w:fldCharType="separate"/>
      </w:r>
      <w:r>
        <w:rPr>
          <w:rStyle w:val="31"/>
          <w:rFonts w:hint="eastAsia" w:ascii="宋体" w:hAnsi="宋体" w:eastAsia="宋体" w:cs="宋体"/>
          <w:color w:val="auto"/>
          <w:sz w:val="24"/>
          <w:szCs w:val="24"/>
          <w:highlight w:val="none"/>
          <w:u w:val="none"/>
        </w:rPr>
        <w:t>1</w:t>
      </w:r>
      <w:r>
        <w:rPr>
          <w:rStyle w:val="31"/>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i/>
          <w:sz w:val="24"/>
          <w:szCs w:val="24"/>
          <w:highlight w:val="none"/>
        </w:rPr>
        <w:t>（中型企业、小型企业、微型企业，三者选一填写）</w:t>
      </w:r>
      <w:r>
        <w:rPr>
          <w:rFonts w:hint="eastAsia" w:ascii="宋体" w:hAnsi="宋体" w:eastAsia="宋体" w:cs="宋体"/>
          <w:sz w:val="24"/>
          <w:szCs w:val="24"/>
          <w:highlight w:val="none"/>
        </w:rPr>
        <w:t>；</w:t>
      </w:r>
    </w:p>
    <w:p w14:paraId="095AE7F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06BEF464">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4B5E6399">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184D47F7">
      <w:pPr>
        <w:pBdr>
          <w:top w:val="none" w:color="000000" w:sz="0" w:space="0"/>
          <w:left w:val="none" w:color="000000" w:sz="0" w:space="0"/>
          <w:bottom w:val="none" w:color="000000" w:sz="0" w:space="0"/>
          <w:right w:val="none" w:color="000000" w:sz="0" w:space="0"/>
        </w:pBdr>
        <w:spacing w:line="439" w:lineRule="atLeast"/>
        <w:ind w:right="960" w:firstLine="4800"/>
        <w:rPr>
          <w:rFonts w:hint="eastAsia" w:ascii="宋体" w:hAnsi="宋体" w:eastAsia="宋体" w:cs="宋体"/>
          <w:sz w:val="24"/>
          <w:szCs w:val="24"/>
          <w:highlight w:val="none"/>
        </w:rPr>
      </w:pPr>
      <w:r>
        <w:rPr>
          <w:rFonts w:hint="eastAsia" w:ascii="宋体" w:hAnsi="宋体" w:eastAsia="宋体" w:cs="宋体"/>
          <w:sz w:val="24"/>
          <w:szCs w:val="24"/>
          <w:highlight w:val="none"/>
        </w:rPr>
        <w:t>企业名称（盖章）：</w:t>
      </w:r>
    </w:p>
    <w:p w14:paraId="65E0639F">
      <w:pPr>
        <w:pBdr>
          <w:top w:val="none" w:color="000000" w:sz="0" w:space="0"/>
          <w:left w:val="none" w:color="000000" w:sz="0" w:space="0"/>
          <w:bottom w:val="none" w:color="000000" w:sz="0" w:space="0"/>
          <w:right w:val="none" w:color="000000" w:sz="0" w:space="0"/>
        </w:pBdr>
        <w:spacing w:line="439" w:lineRule="atLeast"/>
        <w:ind w:right="1120" w:firstLine="4800"/>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4C6FA4B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rFonts w:hint="eastAsia" w:ascii="宋体" w:hAnsi="宋体" w:eastAsia="宋体" w:cs="宋体"/>
          <w:sz w:val="24"/>
          <w:szCs w:val="24"/>
          <w:highlight w:val="none"/>
        </w:rPr>
        <w:fldChar w:fldCharType="separate"/>
      </w:r>
      <w:r>
        <w:rPr>
          <w:rStyle w:val="31"/>
          <w:rFonts w:hint="eastAsia" w:ascii="宋体" w:hAnsi="宋体" w:eastAsia="宋体" w:cs="宋体"/>
          <w:color w:val="auto"/>
          <w:sz w:val="24"/>
          <w:szCs w:val="24"/>
          <w:highlight w:val="none"/>
          <w:u w:val="none"/>
        </w:rPr>
        <w:t>1</w:t>
      </w:r>
      <w:r>
        <w:rPr>
          <w:rStyle w:val="31"/>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从业人员、营业收入、资产总额填报上一年度数据，无上一年度数据的新成立企业可不填报，但须提供情况说明。</w:t>
      </w:r>
    </w:p>
    <w:p w14:paraId="1F46A275">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eastAsia="宋体" w:cs="宋体"/>
          <w:sz w:val="24"/>
          <w:szCs w:val="24"/>
          <w:highlight w:val="none"/>
        </w:rPr>
      </w:pPr>
      <w:r>
        <w:rPr>
          <w:rFonts w:hint="eastAsia" w:ascii="宋体" w:hAnsi="宋体" w:eastAsia="宋体" w:cs="宋体"/>
          <w:b/>
          <w:sz w:val="24"/>
          <w:szCs w:val="24"/>
          <w:highlight w:val="none"/>
        </w:rPr>
        <w:t>备注：</w:t>
      </w:r>
    </w:p>
    <w:p w14:paraId="100499B6">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1、投标人提供的中小企业声明函必须包含本项目所有服务及其服务承接企业，并按照声明函格式填写完整、明确，否则视为未按规定提供声明函。</w:t>
      </w:r>
    </w:p>
    <w:p w14:paraId="0A8C376D">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、中标、成交供应商享受规定的中小企业扶持政策的，《中小企业声明函》应当随中标、成交结果同时公告，接受社会监督。</w:t>
      </w:r>
    </w:p>
    <w:p w14:paraId="12B34753">
      <w:pPr>
        <w:spacing w:line="400" w:lineRule="exact"/>
        <w:ind w:firstLine="480"/>
        <w:rPr>
          <w:rFonts w:hint="eastAsia" w:ascii="宋体" w:hAnsi="宋体" w:eastAsia="宋体" w:cs="宋体"/>
          <w:sz w:val="24"/>
          <w:szCs w:val="24"/>
          <w:highlight w:val="none"/>
        </w:rPr>
      </w:pPr>
    </w:p>
    <w:p w14:paraId="0C5173D8">
      <w:pPr>
        <w:spacing w:line="400" w:lineRule="exact"/>
        <w:ind w:firstLine="480"/>
        <w:rPr>
          <w:rFonts w:hint="eastAsia" w:ascii="宋体" w:hAnsi="宋体" w:eastAsia="宋体" w:cs="宋体"/>
          <w:sz w:val="24"/>
          <w:szCs w:val="24"/>
          <w:highlight w:val="none"/>
        </w:rPr>
      </w:pPr>
    </w:p>
    <w:p w14:paraId="13CDD0B1">
      <w:pPr>
        <w:spacing w:line="500" w:lineRule="exact"/>
        <w:ind w:firstLine="480"/>
        <w:rPr>
          <w:rFonts w:hint="eastAsia" w:ascii="宋体" w:hAnsi="宋体" w:eastAsia="宋体" w:cs="宋体"/>
          <w:sz w:val="24"/>
          <w:szCs w:val="24"/>
          <w:highlight w:val="none"/>
        </w:rPr>
      </w:pPr>
    </w:p>
    <w:p w14:paraId="33C46168">
      <w:pPr>
        <w:pStyle w:val="24"/>
        <w:rPr>
          <w:rFonts w:hint="eastAsia" w:ascii="宋体" w:hAnsi="宋体" w:eastAsia="宋体" w:cs="宋体"/>
          <w:sz w:val="24"/>
          <w:szCs w:val="24"/>
          <w:highlight w:val="none"/>
        </w:rPr>
      </w:pPr>
    </w:p>
    <w:p w14:paraId="696F7F9A">
      <w:pPr>
        <w:outlineLvl w:val="0"/>
        <w:rPr>
          <w:rFonts w:hint="eastAsia" w:ascii="宋体" w:hAnsi="宋体" w:eastAsia="宋体" w:cs="宋体"/>
          <w:b/>
          <w:sz w:val="24"/>
          <w:szCs w:val="24"/>
          <w:highlight w:val="none"/>
        </w:rPr>
      </w:pPr>
    </w:p>
    <w:p w14:paraId="1B639F5A">
      <w:pPr>
        <w:outlineLvl w:val="0"/>
        <w:rPr>
          <w:rFonts w:hint="eastAsia" w:ascii="宋体" w:hAnsi="宋体" w:eastAsia="宋体" w:cs="宋体"/>
          <w:b/>
          <w:sz w:val="24"/>
          <w:szCs w:val="24"/>
          <w:highlight w:val="none"/>
        </w:rPr>
      </w:pPr>
    </w:p>
    <w:p w14:paraId="3D5E4FF2">
      <w:pPr>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br w:type="page"/>
      </w:r>
    </w:p>
    <w:p w14:paraId="64EE7DBC">
      <w:pPr>
        <w:outlineLvl w:val="0"/>
        <w:rPr>
          <w:rFonts w:hint="eastAsia" w:ascii="宋体" w:hAnsi="宋体" w:eastAsia="宋体" w:cs="宋体"/>
          <w:b/>
          <w:kern w:val="0"/>
          <w:sz w:val="32"/>
          <w:highlight w:val="none"/>
        </w:rPr>
      </w:pPr>
      <w:r>
        <w:rPr>
          <w:rFonts w:hint="eastAsia" w:ascii="宋体" w:hAnsi="宋体" w:eastAsia="宋体" w:cs="宋体"/>
          <w:b/>
          <w:kern w:val="0"/>
          <w:sz w:val="32"/>
          <w:highlight w:val="none"/>
          <w:lang w:val="en-US" w:eastAsia="zh-CN"/>
        </w:rPr>
        <w:t>13、</w:t>
      </w:r>
      <w:r>
        <w:rPr>
          <w:rFonts w:hint="eastAsia" w:ascii="宋体" w:hAnsi="宋体" w:eastAsia="宋体" w:cs="宋体"/>
          <w:b/>
          <w:kern w:val="0"/>
          <w:sz w:val="32"/>
          <w:highlight w:val="none"/>
        </w:rPr>
        <w:t>残疾人福利性单位声明函（如有）</w:t>
      </w:r>
    </w:p>
    <w:p w14:paraId="7F3E054F">
      <w:pPr>
        <w:spacing w:line="500" w:lineRule="exact"/>
        <w:rPr>
          <w:rFonts w:hint="eastAsia" w:ascii="宋体" w:hAnsi="宋体" w:eastAsia="宋体" w:cs="宋体"/>
          <w:sz w:val="24"/>
          <w:szCs w:val="24"/>
          <w:highlight w:val="none"/>
        </w:rPr>
      </w:pPr>
    </w:p>
    <w:p w14:paraId="5069C06E">
      <w:pPr>
        <w:pBdr>
          <w:top w:val="none" w:color="000000" w:sz="0" w:space="0"/>
          <w:left w:val="none" w:color="000000" w:sz="0" w:space="0"/>
          <w:bottom w:val="none" w:color="000000" w:sz="0" w:space="0"/>
          <w:right w:val="none" w:color="000000" w:sz="0" w:space="0"/>
        </w:pBdr>
        <w:spacing w:line="479" w:lineRule="atLeast"/>
        <w:ind w:firstLine="2560"/>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残疾人福利性单位声明函</w:t>
      </w:r>
    </w:p>
    <w:p w14:paraId="2A27448C">
      <w:pPr>
        <w:pBdr>
          <w:top w:val="none" w:color="000000" w:sz="0" w:space="0"/>
          <w:left w:val="none" w:color="000000" w:sz="0" w:space="0"/>
          <w:bottom w:val="none" w:color="000000" w:sz="0" w:space="0"/>
          <w:right w:val="none" w:color="000000" w:sz="0" w:space="0"/>
        </w:pBdr>
        <w:spacing w:line="479" w:lineRule="atLeast"/>
        <w:ind w:firstLine="1928"/>
        <w:rPr>
          <w:rFonts w:hint="eastAsia" w:ascii="宋体" w:hAnsi="宋体" w:eastAsia="宋体" w:cs="宋体"/>
          <w:sz w:val="24"/>
          <w:szCs w:val="24"/>
          <w:highlight w:val="none"/>
        </w:rPr>
      </w:pPr>
      <w:r>
        <w:rPr>
          <w:rFonts w:hint="eastAsia" w:ascii="宋体" w:hAnsi="宋体" w:eastAsia="宋体" w:cs="宋体"/>
          <w:b/>
          <w:sz w:val="24"/>
          <w:szCs w:val="24"/>
          <w:highlight w:val="none"/>
        </w:rPr>
        <w:t> </w:t>
      </w:r>
    </w:p>
    <w:p w14:paraId="1A3E4522">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D671">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279DEE1A">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65A4E0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DC2430F">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单位名称（盖章）：</w:t>
      </w:r>
    </w:p>
    <w:p w14:paraId="072AD40A">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日 期：</w:t>
      </w:r>
    </w:p>
    <w:p w14:paraId="78F15E66">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b/>
          <w:sz w:val="24"/>
          <w:szCs w:val="24"/>
          <w:highlight w:val="none"/>
        </w:rPr>
      </w:pPr>
    </w:p>
    <w:p w14:paraId="583EB67A">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3F33300E">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p w14:paraId="7E31D76E">
      <w:pP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br w:type="page"/>
      </w:r>
    </w:p>
    <w:p w14:paraId="06C186EA">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4"/>
          <w:szCs w:val="24"/>
        </w:rPr>
      </w:pPr>
      <w:r>
        <w:rPr>
          <w:rFonts w:hint="eastAsia" w:ascii="宋体" w:hAnsi="宋体"/>
          <w:b/>
          <w:sz w:val="24"/>
          <w:szCs w:val="24"/>
        </w:rPr>
        <w:t>14、</w:t>
      </w:r>
      <w:r>
        <w:rPr>
          <w:rFonts w:ascii="宋体" w:hAnsi="宋体"/>
          <w:b/>
          <w:sz w:val="24"/>
          <w:szCs w:val="24"/>
        </w:rPr>
        <w:t>监狱企业证明文件（如有）</w:t>
      </w:r>
    </w:p>
    <w:p w14:paraId="3CB5A3DB">
      <w:pPr>
        <w:pStyle w:val="21"/>
        <w:tabs>
          <w:tab w:val="right" w:leader="dot" w:pos="9450"/>
        </w:tabs>
        <w:spacing w:line="360" w:lineRule="auto"/>
        <w:ind w:left="525"/>
        <w:jc w:val="center"/>
      </w:pPr>
    </w:p>
    <w:p w14:paraId="2EF787EE">
      <w:pPr>
        <w:pBdr>
          <w:top w:val="none" w:color="000000" w:sz="0" w:space="0"/>
          <w:left w:val="none" w:color="000000" w:sz="0" w:space="0"/>
          <w:bottom w:val="none" w:color="000000" w:sz="0" w:space="0"/>
          <w:right w:val="none" w:color="000000" w:sz="0" w:space="0"/>
        </w:pBdr>
        <w:spacing w:line="360" w:lineRule="auto"/>
        <w:ind w:firstLine="2560"/>
        <w:rPr>
          <w:rFonts w:ascii="宋体" w:hAnsi="宋体" w:cs="宋体"/>
          <w:sz w:val="24"/>
          <w:szCs w:val="24"/>
        </w:rPr>
      </w:pPr>
    </w:p>
    <w:p w14:paraId="54FAA030">
      <w:pPr>
        <w:pBdr>
          <w:top w:val="none" w:color="000000" w:sz="0" w:space="0"/>
          <w:left w:val="none" w:color="000000" w:sz="0" w:space="0"/>
          <w:bottom w:val="none" w:color="000000" w:sz="0" w:space="0"/>
          <w:right w:val="none" w:color="000000" w:sz="0" w:space="0"/>
        </w:pBdr>
        <w:spacing w:line="360" w:lineRule="auto"/>
        <w:ind w:firstLine="2560"/>
        <w:rPr>
          <w:rFonts w:ascii="宋体" w:hAnsi="宋体" w:cs="宋体"/>
          <w:sz w:val="24"/>
          <w:szCs w:val="24"/>
        </w:rPr>
      </w:pPr>
      <w:r>
        <w:rPr>
          <w:rFonts w:hint="eastAsia" w:ascii="宋体" w:hAnsi="宋体" w:cs="宋体"/>
          <w:sz w:val="24"/>
          <w:szCs w:val="24"/>
        </w:rPr>
        <w:t>监狱企业证明文件</w:t>
      </w:r>
    </w:p>
    <w:p w14:paraId="68734404">
      <w:pPr>
        <w:spacing w:line="360" w:lineRule="auto"/>
        <w:rPr>
          <w:b/>
          <w:bCs/>
          <w:sz w:val="24"/>
          <w:szCs w:val="24"/>
        </w:rPr>
      </w:pPr>
    </w:p>
    <w:p w14:paraId="29225803">
      <w:pPr>
        <w:spacing w:line="360" w:lineRule="auto"/>
        <w:ind w:firstLine="504" w:firstLineChars="200"/>
        <w:rPr>
          <w:rFonts w:ascii="宋体" w:hAnsi="宋体"/>
          <w:b/>
          <w:spacing w:val="6"/>
          <w:sz w:val="24"/>
          <w:szCs w:val="24"/>
        </w:rPr>
      </w:pPr>
      <w:r>
        <w:rPr>
          <w:rFonts w:hint="eastAsia" w:ascii="宋体" w:hAnsi="宋体"/>
          <w:b/>
          <w:spacing w:val="6"/>
          <w:sz w:val="24"/>
          <w:szCs w:val="24"/>
        </w:rPr>
        <w:t>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5C0C69E9">
      <w:pPr>
        <w:pStyle w:val="2"/>
        <w:rPr>
          <w:rFonts w:hint="eastAsia"/>
        </w:rPr>
      </w:pPr>
    </w:p>
    <w:p w14:paraId="1AF3B888">
      <w:pPr>
        <w:widowControl/>
        <w:pBdr>
          <w:top w:val="none" w:color="000000" w:sz="0" w:space="0"/>
          <w:left w:val="none" w:color="000000" w:sz="0" w:space="0"/>
          <w:bottom w:val="none" w:color="000000" w:sz="0" w:space="0"/>
          <w:right w:val="none" w:color="000000" w:sz="0" w:space="0"/>
        </w:pBdr>
        <w:spacing w:line="439" w:lineRule="atLeast"/>
        <w:jc w:val="center"/>
        <w:rPr>
          <w:rFonts w:ascii="宋体" w:hAnsi="宋体" w:eastAsia="宋体" w:cs="宋体"/>
          <w:kern w:val="0"/>
          <w:sz w:val="24"/>
          <w:highlight w:val="none"/>
        </w:rPr>
      </w:pPr>
    </w:p>
    <w:p w14:paraId="0873E3B0">
      <w:pPr>
        <w:widowControl/>
        <w:pBdr>
          <w:top w:val="none" w:color="000000" w:sz="0" w:space="0"/>
          <w:left w:val="none" w:color="000000" w:sz="0" w:space="0"/>
          <w:bottom w:val="none" w:color="000000" w:sz="0" w:space="0"/>
          <w:right w:val="none" w:color="000000" w:sz="0" w:space="0"/>
        </w:pBdr>
        <w:spacing w:line="439" w:lineRule="atLeast"/>
        <w:jc w:val="center"/>
        <w:rPr>
          <w:rFonts w:ascii="宋体" w:hAnsi="宋体" w:eastAsia="宋体" w:cs="宋体"/>
          <w:kern w:val="0"/>
          <w:sz w:val="24"/>
          <w:highlight w:val="none"/>
        </w:rPr>
      </w:pPr>
    </w:p>
    <w:p w14:paraId="2DEA48CB">
      <w:pPr>
        <w:widowControl/>
        <w:pBdr>
          <w:top w:val="none" w:color="000000" w:sz="0" w:space="0"/>
          <w:left w:val="none" w:color="000000" w:sz="0" w:space="0"/>
          <w:bottom w:val="none" w:color="000000" w:sz="0" w:space="0"/>
          <w:right w:val="none" w:color="000000" w:sz="0" w:space="0"/>
        </w:pBdr>
        <w:spacing w:line="439" w:lineRule="atLeast"/>
        <w:jc w:val="center"/>
        <w:rPr>
          <w:rFonts w:ascii="Arial" w:hAnsi="Arial" w:eastAsia="Arial" w:cs="Times New Roman"/>
          <w:kern w:val="0"/>
          <w:sz w:val="22"/>
          <w:highlight w:val="none"/>
        </w:rPr>
      </w:pPr>
      <w:r>
        <w:rPr>
          <w:rFonts w:ascii="宋体" w:hAnsi="宋体" w:eastAsia="宋体" w:cs="宋体"/>
          <w:kern w:val="0"/>
          <w:sz w:val="24"/>
          <w:highlight w:val="none"/>
        </w:rPr>
        <w:t>（全文完）</w:t>
      </w:r>
    </w:p>
    <w:p w14:paraId="6A4CF804">
      <w:pPr>
        <w:pStyle w:val="5"/>
        <w:numPr>
          <w:ilvl w:val="2"/>
          <w:numId w:val="0"/>
        </w:numPr>
        <w:rPr>
          <w:highlight w:val="none"/>
        </w:rPr>
      </w:pPr>
    </w:p>
    <w:sectPr>
      <w:headerReference r:id="rId3" w:type="default"/>
      <w:footerReference r:id="rId4" w:type="default"/>
      <w:pgSz w:w="11906" w:h="16838"/>
      <w:pgMar w:top="1440" w:right="1134" w:bottom="144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503603"/>
    </w:sdtPr>
    <w:sdtContent>
      <w:sdt>
        <w:sdtPr>
          <w:id w:val="-1705238520"/>
        </w:sdtPr>
        <w:sdtContent>
          <w:p w14:paraId="7974A2F8">
            <w:pPr>
              <w:pStyle w:val="1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23A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E6561"/>
    <w:multiLevelType w:val="singleLevel"/>
    <w:tmpl w:val="B0AE6561"/>
    <w:lvl w:ilvl="0" w:tentative="0">
      <w:start w:val="5"/>
      <w:numFmt w:val="chineseCounting"/>
      <w:suff w:val="space"/>
      <w:lvlText w:val="第%1部分"/>
      <w:lvlJc w:val="left"/>
      <w:rPr>
        <w:rFonts w:hint="eastAsia"/>
      </w:rPr>
    </w:lvl>
  </w:abstractNum>
  <w:abstractNum w:abstractNumId="1">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2">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12"/>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4FC91E4D"/>
    <w:multiLevelType w:val="multilevel"/>
    <w:tmpl w:val="4FC91E4D"/>
    <w:lvl w:ilvl="0" w:tentative="0">
      <w:start w:val="1"/>
      <w:numFmt w:val="decimal"/>
      <w:pStyle w:val="3"/>
      <w:lvlText w:val="%1."/>
      <w:lvlJc w:val="left"/>
      <w:pPr>
        <w:ind w:left="720" w:hanging="720"/>
      </w:pPr>
      <w:rPr>
        <w:rFonts w:hint="default"/>
      </w:rPr>
    </w:lvl>
    <w:lvl w:ilvl="1" w:tentative="0">
      <w:start w:val="1"/>
      <w:numFmt w:val="decimal"/>
      <w:pStyle w:val="4"/>
      <w:isLgl/>
      <w:lvlText w:val="%1.%2"/>
      <w:lvlJc w:val="left"/>
      <w:pPr>
        <w:ind w:left="918" w:hanging="720"/>
      </w:pPr>
      <w:rPr>
        <w:rFonts w:hint="default"/>
      </w:rPr>
    </w:lvl>
    <w:lvl w:ilvl="2" w:tentative="0">
      <w:start w:val="1"/>
      <w:numFmt w:val="decimal"/>
      <w:pStyle w:val="5"/>
      <w:isLgl/>
      <w:lvlText w:val="%1.%2.%3"/>
      <w:lvlJc w:val="left"/>
      <w:pPr>
        <w:ind w:left="1476" w:hanging="1080"/>
      </w:pPr>
      <w:rPr>
        <w:rFonts w:hint="default"/>
      </w:rPr>
    </w:lvl>
    <w:lvl w:ilvl="3" w:tentative="0">
      <w:start w:val="1"/>
      <w:numFmt w:val="decimal"/>
      <w:isLgl/>
      <w:lvlText w:val="%1.%2.%3.%4"/>
      <w:lvlJc w:val="left"/>
      <w:pPr>
        <w:ind w:left="1674" w:hanging="1080"/>
      </w:pPr>
      <w:rPr>
        <w:rFonts w:hint="default"/>
      </w:rPr>
    </w:lvl>
    <w:lvl w:ilvl="4" w:tentative="0">
      <w:start w:val="1"/>
      <w:numFmt w:val="decimal"/>
      <w:isLgl/>
      <w:lvlText w:val="%1.%2.%3.%4.%5"/>
      <w:lvlJc w:val="left"/>
      <w:pPr>
        <w:ind w:left="2232" w:hanging="1440"/>
      </w:pPr>
      <w:rPr>
        <w:rFonts w:hint="default"/>
      </w:rPr>
    </w:lvl>
    <w:lvl w:ilvl="5" w:tentative="0">
      <w:start w:val="1"/>
      <w:numFmt w:val="decimal"/>
      <w:isLgl/>
      <w:lvlText w:val="%1.%2.%3.%4.%5.%6"/>
      <w:lvlJc w:val="left"/>
      <w:pPr>
        <w:ind w:left="2790" w:hanging="1800"/>
      </w:pPr>
      <w:rPr>
        <w:rFonts w:hint="default"/>
      </w:rPr>
    </w:lvl>
    <w:lvl w:ilvl="6" w:tentative="0">
      <w:start w:val="1"/>
      <w:numFmt w:val="decimal"/>
      <w:isLgl/>
      <w:lvlText w:val="%1.%2.%3.%4.%5.%6.%7"/>
      <w:lvlJc w:val="left"/>
      <w:pPr>
        <w:ind w:left="2988" w:hanging="1800"/>
      </w:pPr>
      <w:rPr>
        <w:rFonts w:hint="default"/>
      </w:rPr>
    </w:lvl>
    <w:lvl w:ilvl="7" w:tentative="0">
      <w:start w:val="1"/>
      <w:numFmt w:val="decimal"/>
      <w:isLgl/>
      <w:lvlText w:val="%1.%2.%3.%4.%5.%6.%7.%8"/>
      <w:lvlJc w:val="left"/>
      <w:pPr>
        <w:ind w:left="3546" w:hanging="2160"/>
      </w:pPr>
      <w:rPr>
        <w:rFonts w:hint="default"/>
      </w:rPr>
    </w:lvl>
    <w:lvl w:ilvl="8" w:tentative="0">
      <w:start w:val="1"/>
      <w:numFmt w:val="decimal"/>
      <w:isLgl/>
      <w:lvlText w:val="%1.%2.%3.%4.%5.%6.%7.%8.%9"/>
      <w:lvlJc w:val="left"/>
      <w:pPr>
        <w:ind w:left="4104" w:hanging="2520"/>
      </w:pPr>
      <w:rPr>
        <w:rFonts w:hint="default"/>
      </w:rPr>
    </w:lvl>
  </w:abstractNum>
  <w:abstractNum w:abstractNumId="4">
    <w:nsid w:val="5DF24F00"/>
    <w:multiLevelType w:val="multilevel"/>
    <w:tmpl w:val="5DF24F00"/>
    <w:lvl w:ilvl="0" w:tentative="0">
      <w:start w:val="1"/>
      <w:numFmt w:val="decimal"/>
      <w:suff w:val="space"/>
      <w:lvlText w:val="%1"/>
      <w:lvlJc w:val="left"/>
      <w:pPr>
        <w:ind w:left="425" w:hanging="425"/>
      </w:pPr>
      <w:rPr>
        <w:rFonts w:hint="eastAsia" w:ascii="宋体" w:hAnsi="宋体" w:eastAsia="宋体"/>
        <w:b/>
        <w:i w:val="0"/>
        <w:sz w:val="28"/>
      </w:rPr>
    </w:lvl>
    <w:lvl w:ilvl="1" w:tentative="0">
      <w:start w:val="1"/>
      <w:numFmt w:val="decimal"/>
      <w:pStyle w:val="54"/>
      <w:suff w:val="space"/>
      <w:lvlText w:val="%1.%2"/>
      <w:lvlJc w:val="left"/>
      <w:pPr>
        <w:ind w:left="567" w:hanging="567"/>
      </w:pPr>
      <w:rPr>
        <w:rFonts w:hint="eastAsia" w:ascii="宋体" w:hAnsi="宋体" w:eastAsia="宋体"/>
        <w:b/>
        <w:i w:val="0"/>
      </w:rPr>
    </w:lvl>
    <w:lvl w:ilvl="2" w:tentative="0">
      <w:start w:val="1"/>
      <w:numFmt w:val="decimal"/>
      <w:pStyle w:val="55"/>
      <w:suff w:val="space"/>
      <w:lvlText w:val="%1.%2.%3"/>
      <w:lvlJc w:val="left"/>
      <w:pPr>
        <w:ind w:left="919" w:hanging="709"/>
      </w:pPr>
      <w:rPr>
        <w:rFonts w:hint="eastAsia" w:ascii="宋体" w:hAnsi="宋体" w:eastAsia="宋体"/>
        <w:b/>
        <w:i w:val="0"/>
      </w:rPr>
    </w:lvl>
    <w:lvl w:ilvl="3" w:tentative="0">
      <w:start w:val="1"/>
      <w:numFmt w:val="decimal"/>
      <w:pStyle w:val="56"/>
      <w:suff w:val="space"/>
      <w:lvlText w:val="%1.%2.%3.%4"/>
      <w:lvlJc w:val="left"/>
      <w:pPr>
        <w:ind w:left="1271" w:hanging="851"/>
      </w:pPr>
      <w:rPr>
        <w:rFonts w:hint="eastAsia" w:ascii="宋体" w:hAnsi="宋体" w:eastAsia="宋体"/>
        <w:b/>
        <w:i w:val="0"/>
      </w:rPr>
    </w:lvl>
    <w:lvl w:ilvl="4" w:tentative="0">
      <w:start w:val="1"/>
      <w:numFmt w:val="decimal"/>
      <w:pStyle w:val="57"/>
      <w:suff w:val="space"/>
      <w:lvlText w:val="%1.%2.%3.%4.%5"/>
      <w:lvlJc w:val="left"/>
      <w:pPr>
        <w:ind w:left="1622" w:hanging="992"/>
      </w:pPr>
      <w:rPr>
        <w:rFonts w:hint="eastAsia" w:ascii="宋体" w:hAnsi="宋体" w:eastAsia="宋体"/>
        <w:b/>
        <w:i w:val="0"/>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
    <w:nsid w:val="5E29C949"/>
    <w:multiLevelType w:val="singleLevel"/>
    <w:tmpl w:val="5E29C949"/>
    <w:lvl w:ilvl="0" w:tentative="0">
      <w:start w:val="1"/>
      <w:numFmt w:val="chineseCounting"/>
      <w:suff w:val="space"/>
      <w:lvlText w:val="第%1部分"/>
      <w:lvlJc w:val="left"/>
      <w:rPr>
        <w:rFonts w:hint="eastAsia"/>
      </w:rPr>
    </w:lvl>
  </w:abstractNum>
  <w:abstractNum w:abstractNumId="6">
    <w:nsid w:val="6163D1CF"/>
    <w:multiLevelType w:val="singleLevel"/>
    <w:tmpl w:val="6163D1CF"/>
    <w:lvl w:ilvl="0" w:tentative="0">
      <w:start w:val="3"/>
      <w:numFmt w:val="chineseCounting"/>
      <w:suff w:val="nothing"/>
      <w:lvlText w:val="（%1）"/>
      <w:lvlJc w:val="left"/>
      <w:rPr>
        <w:rFonts w:hint="eastAsia"/>
      </w:rPr>
    </w:lvl>
  </w:abstractNum>
  <w:abstractNum w:abstractNumId="7">
    <w:nsid w:val="69FF67F6"/>
    <w:multiLevelType w:val="singleLevel"/>
    <w:tmpl w:val="69FF67F6"/>
    <w:lvl w:ilvl="0" w:tentative="0">
      <w:start w:val="1"/>
      <w:numFmt w:val="decimal"/>
      <w:suff w:val="space"/>
      <w:lvlText w:val="%1."/>
      <w:lvlJc w:val="left"/>
      <w:pPr>
        <w:tabs>
          <w:tab w:val="left" w:pos="0"/>
        </w:tabs>
      </w:pPr>
      <w:rPr>
        <w:rFonts w:hint="default"/>
      </w:rPr>
    </w:lvl>
  </w:abstractNum>
  <w:abstractNum w:abstractNumId="8">
    <w:nsid w:val="70C20142"/>
    <w:multiLevelType w:val="multilevel"/>
    <w:tmpl w:val="70C20142"/>
    <w:lvl w:ilvl="0" w:tentative="0">
      <w:start w:val="1"/>
      <w:numFmt w:val="decimal"/>
      <w:pStyle w:val="46"/>
      <w:lvlText w:val="%1"/>
      <w:lvlJc w:val="left"/>
      <w:pPr>
        <w:ind w:left="432" w:hanging="432"/>
      </w:pPr>
      <w:rPr>
        <w:rFonts w:hint="eastAsia"/>
      </w:rPr>
    </w:lvl>
    <w:lvl w:ilvl="1" w:tentative="0">
      <w:start w:val="1"/>
      <w:numFmt w:val="decimal"/>
      <w:pStyle w:val="48"/>
      <w:lvlText w:val="%1.%2"/>
      <w:lvlJc w:val="left"/>
      <w:pPr>
        <w:ind w:left="718" w:hanging="576"/>
      </w:pPr>
      <w:rPr>
        <w:rFonts w:hint="eastAsia"/>
      </w:rPr>
    </w:lvl>
    <w:lvl w:ilvl="2" w:tentative="0">
      <w:start w:val="1"/>
      <w:numFmt w:val="decimal"/>
      <w:pStyle w:val="49"/>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9">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6"/>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num w:numId="1">
    <w:abstractNumId w:val="3"/>
  </w:num>
  <w:num w:numId="2">
    <w:abstractNumId w:val="9"/>
  </w:num>
  <w:num w:numId="3">
    <w:abstractNumId w:val="2"/>
  </w:num>
  <w:num w:numId="4">
    <w:abstractNumId w:val="8"/>
  </w:num>
  <w:num w:numId="5">
    <w:abstractNumId w:val="4"/>
  </w:num>
  <w:num w:numId="6">
    <w:abstractNumId w:val="5"/>
  </w:num>
  <w:num w:numId="7">
    <w:abstractNumId w:val="6"/>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wMTFkMDI3ZjBmZjczM2Q3M2EwOGI5M2VjYzUzMDkifQ=="/>
  </w:docVars>
  <w:rsids>
    <w:rsidRoot w:val="00E47FF8"/>
    <w:rsid w:val="00051470"/>
    <w:rsid w:val="00093596"/>
    <w:rsid w:val="001249C1"/>
    <w:rsid w:val="001368D4"/>
    <w:rsid w:val="00150B39"/>
    <w:rsid w:val="002558DE"/>
    <w:rsid w:val="002664B4"/>
    <w:rsid w:val="00282463"/>
    <w:rsid w:val="002831CD"/>
    <w:rsid w:val="00306967"/>
    <w:rsid w:val="00317650"/>
    <w:rsid w:val="00320568"/>
    <w:rsid w:val="003279AB"/>
    <w:rsid w:val="00331189"/>
    <w:rsid w:val="003E2703"/>
    <w:rsid w:val="0046010E"/>
    <w:rsid w:val="004C4933"/>
    <w:rsid w:val="00544AED"/>
    <w:rsid w:val="005E0782"/>
    <w:rsid w:val="005E708D"/>
    <w:rsid w:val="00692C7E"/>
    <w:rsid w:val="006A0AAA"/>
    <w:rsid w:val="006D2DE1"/>
    <w:rsid w:val="006F7570"/>
    <w:rsid w:val="007019D5"/>
    <w:rsid w:val="00784FF7"/>
    <w:rsid w:val="007E6932"/>
    <w:rsid w:val="00802F57"/>
    <w:rsid w:val="00877C8A"/>
    <w:rsid w:val="008C390A"/>
    <w:rsid w:val="009073C9"/>
    <w:rsid w:val="009716E0"/>
    <w:rsid w:val="009C16F0"/>
    <w:rsid w:val="00A87CD3"/>
    <w:rsid w:val="00AA71EC"/>
    <w:rsid w:val="00AF1983"/>
    <w:rsid w:val="00AF694B"/>
    <w:rsid w:val="00C33FE5"/>
    <w:rsid w:val="00CC6420"/>
    <w:rsid w:val="00D12013"/>
    <w:rsid w:val="00D35062"/>
    <w:rsid w:val="00D4148C"/>
    <w:rsid w:val="00D43E95"/>
    <w:rsid w:val="00D96E57"/>
    <w:rsid w:val="00DA5B78"/>
    <w:rsid w:val="00DF6575"/>
    <w:rsid w:val="00E47FF8"/>
    <w:rsid w:val="00E55446"/>
    <w:rsid w:val="00F642D5"/>
    <w:rsid w:val="00F7543C"/>
    <w:rsid w:val="00FE379A"/>
    <w:rsid w:val="01334FA7"/>
    <w:rsid w:val="014255F2"/>
    <w:rsid w:val="01746AFD"/>
    <w:rsid w:val="01AE3368"/>
    <w:rsid w:val="025737A1"/>
    <w:rsid w:val="02785D16"/>
    <w:rsid w:val="027B01C7"/>
    <w:rsid w:val="02F10EE5"/>
    <w:rsid w:val="03372739"/>
    <w:rsid w:val="0429344B"/>
    <w:rsid w:val="042D56C0"/>
    <w:rsid w:val="04506958"/>
    <w:rsid w:val="053F7DCA"/>
    <w:rsid w:val="05E65B03"/>
    <w:rsid w:val="06051E69"/>
    <w:rsid w:val="064430F1"/>
    <w:rsid w:val="087E1BC0"/>
    <w:rsid w:val="08957FC8"/>
    <w:rsid w:val="09096AF4"/>
    <w:rsid w:val="09DE4AC2"/>
    <w:rsid w:val="0A286E7B"/>
    <w:rsid w:val="0A4032D8"/>
    <w:rsid w:val="0A8A4F16"/>
    <w:rsid w:val="0A9234F9"/>
    <w:rsid w:val="0BA14F94"/>
    <w:rsid w:val="0C082E3C"/>
    <w:rsid w:val="0C953D19"/>
    <w:rsid w:val="0CEC17FD"/>
    <w:rsid w:val="0D5541FE"/>
    <w:rsid w:val="0D9D50C5"/>
    <w:rsid w:val="0DA872C0"/>
    <w:rsid w:val="0EEC4581"/>
    <w:rsid w:val="0F72626C"/>
    <w:rsid w:val="0F831235"/>
    <w:rsid w:val="0FD0613D"/>
    <w:rsid w:val="10B24B8D"/>
    <w:rsid w:val="10B77D5F"/>
    <w:rsid w:val="10F468BD"/>
    <w:rsid w:val="115A79A5"/>
    <w:rsid w:val="1166487C"/>
    <w:rsid w:val="12624E3E"/>
    <w:rsid w:val="12903616"/>
    <w:rsid w:val="12D91292"/>
    <w:rsid w:val="133C69A2"/>
    <w:rsid w:val="134454AD"/>
    <w:rsid w:val="13BE48FB"/>
    <w:rsid w:val="13CF2BD9"/>
    <w:rsid w:val="13EE7E5C"/>
    <w:rsid w:val="144572DB"/>
    <w:rsid w:val="146D0E60"/>
    <w:rsid w:val="14E70D08"/>
    <w:rsid w:val="15185D93"/>
    <w:rsid w:val="1519634A"/>
    <w:rsid w:val="15703297"/>
    <w:rsid w:val="16113A6A"/>
    <w:rsid w:val="162437A1"/>
    <w:rsid w:val="163F2BA6"/>
    <w:rsid w:val="16411730"/>
    <w:rsid w:val="166F6781"/>
    <w:rsid w:val="16A9757C"/>
    <w:rsid w:val="16BF1EF0"/>
    <w:rsid w:val="16F74009"/>
    <w:rsid w:val="17E23494"/>
    <w:rsid w:val="1817082D"/>
    <w:rsid w:val="184A698E"/>
    <w:rsid w:val="18586D07"/>
    <w:rsid w:val="190F41B9"/>
    <w:rsid w:val="193515EE"/>
    <w:rsid w:val="193D1F88"/>
    <w:rsid w:val="19507AB2"/>
    <w:rsid w:val="1A372853"/>
    <w:rsid w:val="1A4B5384"/>
    <w:rsid w:val="1A90006E"/>
    <w:rsid w:val="1A930EF5"/>
    <w:rsid w:val="1AAF0E80"/>
    <w:rsid w:val="1B283DE4"/>
    <w:rsid w:val="1C22182C"/>
    <w:rsid w:val="1C6467FD"/>
    <w:rsid w:val="1C856334"/>
    <w:rsid w:val="1D543972"/>
    <w:rsid w:val="1DFD21E2"/>
    <w:rsid w:val="1E236A34"/>
    <w:rsid w:val="1E287168"/>
    <w:rsid w:val="1E4A7B8D"/>
    <w:rsid w:val="1E4D069B"/>
    <w:rsid w:val="1EA5505B"/>
    <w:rsid w:val="1ECD2D21"/>
    <w:rsid w:val="1F490AD0"/>
    <w:rsid w:val="1F6E2F0A"/>
    <w:rsid w:val="1FFB3BFB"/>
    <w:rsid w:val="203E52CC"/>
    <w:rsid w:val="204D4B94"/>
    <w:rsid w:val="204D5E68"/>
    <w:rsid w:val="205005B3"/>
    <w:rsid w:val="2064483B"/>
    <w:rsid w:val="21141227"/>
    <w:rsid w:val="21625176"/>
    <w:rsid w:val="21B764EA"/>
    <w:rsid w:val="21CF0BC1"/>
    <w:rsid w:val="21E464DA"/>
    <w:rsid w:val="21FB1FC6"/>
    <w:rsid w:val="22D327D6"/>
    <w:rsid w:val="22D33904"/>
    <w:rsid w:val="22D85229"/>
    <w:rsid w:val="22DC5003"/>
    <w:rsid w:val="235F226C"/>
    <w:rsid w:val="237A76DE"/>
    <w:rsid w:val="23912FC6"/>
    <w:rsid w:val="23A03F80"/>
    <w:rsid w:val="23B61EF8"/>
    <w:rsid w:val="23D42CAA"/>
    <w:rsid w:val="24154C36"/>
    <w:rsid w:val="24701BFE"/>
    <w:rsid w:val="25BC57A4"/>
    <w:rsid w:val="267D7DC2"/>
    <w:rsid w:val="26BC3B2C"/>
    <w:rsid w:val="27C15FE7"/>
    <w:rsid w:val="27E67649"/>
    <w:rsid w:val="27F37477"/>
    <w:rsid w:val="280B0C3D"/>
    <w:rsid w:val="286A7D3A"/>
    <w:rsid w:val="28A63931"/>
    <w:rsid w:val="28F00255"/>
    <w:rsid w:val="290F6F35"/>
    <w:rsid w:val="292C3C68"/>
    <w:rsid w:val="293E718A"/>
    <w:rsid w:val="293F53EE"/>
    <w:rsid w:val="2973086F"/>
    <w:rsid w:val="29BD7D3C"/>
    <w:rsid w:val="2A080883"/>
    <w:rsid w:val="2A2800CF"/>
    <w:rsid w:val="2A3B1950"/>
    <w:rsid w:val="2A577F0B"/>
    <w:rsid w:val="2A783C63"/>
    <w:rsid w:val="2A8D0D4C"/>
    <w:rsid w:val="2ACD576B"/>
    <w:rsid w:val="2B1D695F"/>
    <w:rsid w:val="2B1F7E79"/>
    <w:rsid w:val="2B5339B2"/>
    <w:rsid w:val="2BFE19C5"/>
    <w:rsid w:val="2C0C5C31"/>
    <w:rsid w:val="2C1615C6"/>
    <w:rsid w:val="2C5C65F9"/>
    <w:rsid w:val="2D261171"/>
    <w:rsid w:val="2D4452DF"/>
    <w:rsid w:val="2D6E6ABA"/>
    <w:rsid w:val="2DE62855"/>
    <w:rsid w:val="2DF46388"/>
    <w:rsid w:val="2E63730B"/>
    <w:rsid w:val="2EBF1447"/>
    <w:rsid w:val="2EE173DF"/>
    <w:rsid w:val="2F292538"/>
    <w:rsid w:val="302216BA"/>
    <w:rsid w:val="30273199"/>
    <w:rsid w:val="30C776F3"/>
    <w:rsid w:val="31132F9F"/>
    <w:rsid w:val="316D1348"/>
    <w:rsid w:val="31A911B2"/>
    <w:rsid w:val="31D02001"/>
    <w:rsid w:val="32576430"/>
    <w:rsid w:val="32DB7107"/>
    <w:rsid w:val="32E06DBB"/>
    <w:rsid w:val="33586A85"/>
    <w:rsid w:val="34390606"/>
    <w:rsid w:val="34F3093F"/>
    <w:rsid w:val="35302F98"/>
    <w:rsid w:val="36121A71"/>
    <w:rsid w:val="36853AF5"/>
    <w:rsid w:val="36BE6EA2"/>
    <w:rsid w:val="36D45059"/>
    <w:rsid w:val="36FA1BD2"/>
    <w:rsid w:val="37744948"/>
    <w:rsid w:val="37D14791"/>
    <w:rsid w:val="3869351D"/>
    <w:rsid w:val="3A301905"/>
    <w:rsid w:val="3A3D51E1"/>
    <w:rsid w:val="3A551DF1"/>
    <w:rsid w:val="3AD93324"/>
    <w:rsid w:val="3AE70F05"/>
    <w:rsid w:val="3B8D3800"/>
    <w:rsid w:val="3C4C11FB"/>
    <w:rsid w:val="3CA66752"/>
    <w:rsid w:val="3CF0704A"/>
    <w:rsid w:val="3D705CE7"/>
    <w:rsid w:val="3DA81D23"/>
    <w:rsid w:val="3DE85B35"/>
    <w:rsid w:val="3DEC58D7"/>
    <w:rsid w:val="3E0B3302"/>
    <w:rsid w:val="3E2B3208"/>
    <w:rsid w:val="3E520523"/>
    <w:rsid w:val="3E5C7A12"/>
    <w:rsid w:val="3E8C6028"/>
    <w:rsid w:val="3EE31065"/>
    <w:rsid w:val="3EE51450"/>
    <w:rsid w:val="3EF36F4F"/>
    <w:rsid w:val="3EF74FBD"/>
    <w:rsid w:val="3F0652EA"/>
    <w:rsid w:val="3F657B1C"/>
    <w:rsid w:val="3F7311CF"/>
    <w:rsid w:val="40435D34"/>
    <w:rsid w:val="40E7092B"/>
    <w:rsid w:val="40EA6889"/>
    <w:rsid w:val="40ED484F"/>
    <w:rsid w:val="41080E4F"/>
    <w:rsid w:val="417D5F3C"/>
    <w:rsid w:val="419B72DB"/>
    <w:rsid w:val="41FC20F4"/>
    <w:rsid w:val="42290E28"/>
    <w:rsid w:val="423D735E"/>
    <w:rsid w:val="42733236"/>
    <w:rsid w:val="42890F81"/>
    <w:rsid w:val="429D3457"/>
    <w:rsid w:val="42B33086"/>
    <w:rsid w:val="42C5741D"/>
    <w:rsid w:val="42F313A6"/>
    <w:rsid w:val="430A7028"/>
    <w:rsid w:val="43AA24B2"/>
    <w:rsid w:val="43BA63B5"/>
    <w:rsid w:val="44B74F79"/>
    <w:rsid w:val="463B60B5"/>
    <w:rsid w:val="46411AC8"/>
    <w:rsid w:val="464B176D"/>
    <w:rsid w:val="46C35031"/>
    <w:rsid w:val="46C45C10"/>
    <w:rsid w:val="46C645EC"/>
    <w:rsid w:val="46D415C3"/>
    <w:rsid w:val="4730491A"/>
    <w:rsid w:val="479C74C2"/>
    <w:rsid w:val="479C7602"/>
    <w:rsid w:val="48796038"/>
    <w:rsid w:val="49357723"/>
    <w:rsid w:val="494476DB"/>
    <w:rsid w:val="497A1E5A"/>
    <w:rsid w:val="49AA7B26"/>
    <w:rsid w:val="49FA5DFD"/>
    <w:rsid w:val="4A494256"/>
    <w:rsid w:val="4A781A58"/>
    <w:rsid w:val="4B1C3496"/>
    <w:rsid w:val="4B2E0968"/>
    <w:rsid w:val="4B3D32B9"/>
    <w:rsid w:val="4B54279A"/>
    <w:rsid w:val="4B606268"/>
    <w:rsid w:val="4B8002EF"/>
    <w:rsid w:val="4B8B37F5"/>
    <w:rsid w:val="4B9179DC"/>
    <w:rsid w:val="4C075740"/>
    <w:rsid w:val="4C0D1D2C"/>
    <w:rsid w:val="4C2865FF"/>
    <w:rsid w:val="4CAC4853"/>
    <w:rsid w:val="4CE83811"/>
    <w:rsid w:val="4CFC7A91"/>
    <w:rsid w:val="4D29269A"/>
    <w:rsid w:val="4D4D1B49"/>
    <w:rsid w:val="4D84040C"/>
    <w:rsid w:val="4DAC7224"/>
    <w:rsid w:val="4DDC4386"/>
    <w:rsid w:val="4E3724AD"/>
    <w:rsid w:val="4EAD2183"/>
    <w:rsid w:val="4F1D0F7D"/>
    <w:rsid w:val="4FDA4C6A"/>
    <w:rsid w:val="50524548"/>
    <w:rsid w:val="512975EA"/>
    <w:rsid w:val="5135294D"/>
    <w:rsid w:val="51766DE3"/>
    <w:rsid w:val="51B6593B"/>
    <w:rsid w:val="521A4CB8"/>
    <w:rsid w:val="52D56A27"/>
    <w:rsid w:val="52F4458A"/>
    <w:rsid w:val="53FC0770"/>
    <w:rsid w:val="54177EC5"/>
    <w:rsid w:val="54266EC4"/>
    <w:rsid w:val="54A10F61"/>
    <w:rsid w:val="552B174F"/>
    <w:rsid w:val="55C10B19"/>
    <w:rsid w:val="55C64CD5"/>
    <w:rsid w:val="564E66F7"/>
    <w:rsid w:val="566212A4"/>
    <w:rsid w:val="56653CA4"/>
    <w:rsid w:val="567D7DCB"/>
    <w:rsid w:val="56E737C9"/>
    <w:rsid w:val="575D7F93"/>
    <w:rsid w:val="578C1B1B"/>
    <w:rsid w:val="579C57CC"/>
    <w:rsid w:val="579D653B"/>
    <w:rsid w:val="57B66C69"/>
    <w:rsid w:val="57D834FD"/>
    <w:rsid w:val="57EC6089"/>
    <w:rsid w:val="58021544"/>
    <w:rsid w:val="59E2165F"/>
    <w:rsid w:val="59FD11F1"/>
    <w:rsid w:val="5A035D34"/>
    <w:rsid w:val="5A0A4327"/>
    <w:rsid w:val="5A1D0200"/>
    <w:rsid w:val="5A3A432D"/>
    <w:rsid w:val="5A8B3F6D"/>
    <w:rsid w:val="5AD56174"/>
    <w:rsid w:val="5B3557F9"/>
    <w:rsid w:val="5B4A6D65"/>
    <w:rsid w:val="5BAF4290"/>
    <w:rsid w:val="5BC112AD"/>
    <w:rsid w:val="5C184859"/>
    <w:rsid w:val="5C334323"/>
    <w:rsid w:val="5CB15FB1"/>
    <w:rsid w:val="5CF57894"/>
    <w:rsid w:val="5CF847AB"/>
    <w:rsid w:val="5D7E7754"/>
    <w:rsid w:val="5DE336C5"/>
    <w:rsid w:val="5E09156A"/>
    <w:rsid w:val="5E7C3864"/>
    <w:rsid w:val="5EB83C4C"/>
    <w:rsid w:val="5ED77B65"/>
    <w:rsid w:val="5F036717"/>
    <w:rsid w:val="5F705AA6"/>
    <w:rsid w:val="60123630"/>
    <w:rsid w:val="60161C8D"/>
    <w:rsid w:val="602C4080"/>
    <w:rsid w:val="605140AF"/>
    <w:rsid w:val="605B3289"/>
    <w:rsid w:val="60936160"/>
    <w:rsid w:val="609546DE"/>
    <w:rsid w:val="60993B99"/>
    <w:rsid w:val="60D84FBB"/>
    <w:rsid w:val="60DF0B0B"/>
    <w:rsid w:val="60F510AB"/>
    <w:rsid w:val="615D0828"/>
    <w:rsid w:val="61DB3763"/>
    <w:rsid w:val="61FD66E6"/>
    <w:rsid w:val="62232AC4"/>
    <w:rsid w:val="6241784F"/>
    <w:rsid w:val="62AC5FE7"/>
    <w:rsid w:val="62B618E2"/>
    <w:rsid w:val="63205C2F"/>
    <w:rsid w:val="63317001"/>
    <w:rsid w:val="63425234"/>
    <w:rsid w:val="63A841F0"/>
    <w:rsid w:val="64692BFA"/>
    <w:rsid w:val="64BA3B58"/>
    <w:rsid w:val="64D548B1"/>
    <w:rsid w:val="655A2308"/>
    <w:rsid w:val="65752C9E"/>
    <w:rsid w:val="65A200D0"/>
    <w:rsid w:val="65B72B94"/>
    <w:rsid w:val="66042274"/>
    <w:rsid w:val="66384D01"/>
    <w:rsid w:val="66451785"/>
    <w:rsid w:val="66EF2DFA"/>
    <w:rsid w:val="670D1EE0"/>
    <w:rsid w:val="67A96C2F"/>
    <w:rsid w:val="67BC3C4A"/>
    <w:rsid w:val="688C1076"/>
    <w:rsid w:val="68B5155C"/>
    <w:rsid w:val="68E36B75"/>
    <w:rsid w:val="69023DC2"/>
    <w:rsid w:val="694261A0"/>
    <w:rsid w:val="699C42B6"/>
    <w:rsid w:val="6A19180A"/>
    <w:rsid w:val="6A534097"/>
    <w:rsid w:val="6AAC4B6F"/>
    <w:rsid w:val="6AFE2CE8"/>
    <w:rsid w:val="6B4F780B"/>
    <w:rsid w:val="6B5E17B6"/>
    <w:rsid w:val="6BB002CE"/>
    <w:rsid w:val="6C186304"/>
    <w:rsid w:val="6C9426E3"/>
    <w:rsid w:val="6C977D24"/>
    <w:rsid w:val="6CC16187"/>
    <w:rsid w:val="6DBC3BAA"/>
    <w:rsid w:val="6DC13CA1"/>
    <w:rsid w:val="6DFD6DCB"/>
    <w:rsid w:val="6F043AB4"/>
    <w:rsid w:val="6F617B8C"/>
    <w:rsid w:val="6FEB6C64"/>
    <w:rsid w:val="702D3146"/>
    <w:rsid w:val="70371FBD"/>
    <w:rsid w:val="70964D53"/>
    <w:rsid w:val="70C171D6"/>
    <w:rsid w:val="70E8359D"/>
    <w:rsid w:val="70FA3C7E"/>
    <w:rsid w:val="71345E36"/>
    <w:rsid w:val="717E5B06"/>
    <w:rsid w:val="71D8341E"/>
    <w:rsid w:val="722257AC"/>
    <w:rsid w:val="72297997"/>
    <w:rsid w:val="72607955"/>
    <w:rsid w:val="72F8341D"/>
    <w:rsid w:val="733E0711"/>
    <w:rsid w:val="746C7962"/>
    <w:rsid w:val="749B115F"/>
    <w:rsid w:val="749F132B"/>
    <w:rsid w:val="74A160FE"/>
    <w:rsid w:val="74B916AE"/>
    <w:rsid w:val="752432E3"/>
    <w:rsid w:val="75616F68"/>
    <w:rsid w:val="75A6395A"/>
    <w:rsid w:val="76C34670"/>
    <w:rsid w:val="76CB4D26"/>
    <w:rsid w:val="76E64066"/>
    <w:rsid w:val="76F20FCC"/>
    <w:rsid w:val="772642F8"/>
    <w:rsid w:val="77833451"/>
    <w:rsid w:val="77E8500B"/>
    <w:rsid w:val="78612BC0"/>
    <w:rsid w:val="7861489F"/>
    <w:rsid w:val="78FC79C9"/>
    <w:rsid w:val="793811CB"/>
    <w:rsid w:val="79786DA9"/>
    <w:rsid w:val="79DE2C07"/>
    <w:rsid w:val="7A1657B7"/>
    <w:rsid w:val="7A5814A2"/>
    <w:rsid w:val="7AFC089C"/>
    <w:rsid w:val="7AFD4CB7"/>
    <w:rsid w:val="7B4A3260"/>
    <w:rsid w:val="7BAF3276"/>
    <w:rsid w:val="7BD35F72"/>
    <w:rsid w:val="7C0C6228"/>
    <w:rsid w:val="7C150B3C"/>
    <w:rsid w:val="7C6B7CD4"/>
    <w:rsid w:val="7CCB4455"/>
    <w:rsid w:val="7CDA0504"/>
    <w:rsid w:val="7D0366A3"/>
    <w:rsid w:val="7D3B6B7E"/>
    <w:rsid w:val="7D647D98"/>
    <w:rsid w:val="7DAC11F1"/>
    <w:rsid w:val="7DC43EAA"/>
    <w:rsid w:val="7E98245A"/>
    <w:rsid w:val="7F1A7752"/>
    <w:rsid w:val="7F433FBA"/>
    <w:rsid w:val="7F8F3CC8"/>
    <w:rsid w:val="7F9D3213"/>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9"/>
    <w:qFormat/>
    <w:uiPriority w:val="9"/>
    <w:pPr>
      <w:keepNext/>
      <w:keepLines/>
      <w:numPr>
        <w:ilvl w:val="0"/>
        <w:numId w:val="1"/>
      </w:numPr>
      <w:spacing w:after="120"/>
      <w:ind w:firstLine="0"/>
      <w:outlineLvl w:val="0"/>
    </w:pPr>
    <w:rPr>
      <w:rFonts w:eastAsia="黑体"/>
      <w:b/>
      <w:bCs/>
      <w:kern w:val="44"/>
      <w:sz w:val="36"/>
      <w:szCs w:val="44"/>
    </w:rPr>
  </w:style>
  <w:style w:type="paragraph" w:styleId="4">
    <w:name w:val="heading 2"/>
    <w:basedOn w:val="1"/>
    <w:next w:val="1"/>
    <w:link w:val="40"/>
    <w:unhideWhenUsed/>
    <w:qFormat/>
    <w:uiPriority w:val="9"/>
    <w:pPr>
      <w:keepNext/>
      <w:keepLines/>
      <w:numPr>
        <w:ilvl w:val="1"/>
        <w:numId w:val="1"/>
      </w:numPr>
      <w:spacing w:before="260" w:after="260"/>
      <w:ind w:firstLine="0"/>
      <w:outlineLvl w:val="1"/>
    </w:pPr>
    <w:rPr>
      <w:rFonts w:eastAsia="黑体" w:asciiTheme="majorHAnsi" w:hAnsiTheme="majorHAnsi" w:cstheme="majorBidi"/>
      <w:b/>
      <w:bCs/>
      <w:sz w:val="32"/>
      <w:szCs w:val="32"/>
    </w:rPr>
  </w:style>
  <w:style w:type="paragraph" w:styleId="5">
    <w:name w:val="heading 3"/>
    <w:basedOn w:val="1"/>
    <w:next w:val="1"/>
    <w:link w:val="41"/>
    <w:unhideWhenUsed/>
    <w:qFormat/>
    <w:uiPriority w:val="9"/>
    <w:pPr>
      <w:keepNext/>
      <w:keepLines/>
      <w:numPr>
        <w:ilvl w:val="2"/>
        <w:numId w:val="1"/>
      </w:numPr>
      <w:spacing w:before="260" w:after="260"/>
      <w:ind w:left="0" w:firstLine="0"/>
      <w:outlineLvl w:val="2"/>
    </w:pPr>
    <w:rPr>
      <w:rFonts w:eastAsia="黑体"/>
      <w:b/>
      <w:bCs/>
      <w:sz w:val="30"/>
      <w:szCs w:val="32"/>
    </w:rPr>
  </w:style>
  <w:style w:type="paragraph" w:styleId="6">
    <w:name w:val="heading 4"/>
    <w:basedOn w:val="1"/>
    <w:next w:val="1"/>
    <w:unhideWhenUsed/>
    <w:qFormat/>
    <w:uiPriority w:val="9"/>
    <w:pPr>
      <w:keepNext/>
      <w:keepLines/>
      <w:numPr>
        <w:ilvl w:val="3"/>
        <w:numId w:val="2"/>
      </w:numPr>
      <w:spacing w:before="60" w:after="60"/>
      <w:ind w:left="0" w:firstLine="0"/>
      <w:outlineLvl w:val="3"/>
    </w:pPr>
    <w:rPr>
      <w:rFonts w:eastAsia="黑体" w:asciiTheme="majorHAnsi" w:hAnsiTheme="majorHAnsi" w:cstheme="majorBidi"/>
      <w:b/>
      <w:bCs/>
      <w:sz w:val="28"/>
      <w:szCs w:val="28"/>
    </w:rPr>
  </w:style>
  <w:style w:type="paragraph" w:styleId="7">
    <w:name w:val="heading 5"/>
    <w:basedOn w:val="1"/>
    <w:next w:val="1"/>
    <w:unhideWhenUsed/>
    <w:qFormat/>
    <w:uiPriority w:val="9"/>
    <w:pPr>
      <w:keepNext/>
      <w:keepLines/>
      <w:spacing w:before="20" w:after="20"/>
      <w:ind w:firstLine="562"/>
      <w:outlineLvl w:val="4"/>
    </w:pPr>
    <w:rPr>
      <w:rFonts w:ascii="Times New Roman" w:hAnsi="Times New Roman" w:eastAsia="黑体"/>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标题 211"/>
    <w:basedOn w:val="1"/>
    <w:next w:val="1"/>
    <w:unhideWhenUsed/>
    <w:qFormat/>
    <w:uiPriority w:val="9"/>
    <w:pPr>
      <w:keepNext/>
      <w:keepLines/>
      <w:spacing w:before="360" w:after="200"/>
      <w:outlineLvl w:val="1"/>
    </w:pPr>
    <w:rPr>
      <w:rFonts w:ascii="Arial" w:hAnsi="Arial" w:cs="Arial"/>
      <w:sz w:val="34"/>
      <w:szCs w:val="22"/>
    </w:rPr>
  </w:style>
  <w:style w:type="paragraph" w:styleId="8">
    <w:name w:val="Normal Indent"/>
    <w:basedOn w:val="1"/>
    <w:next w:val="1"/>
    <w:qFormat/>
    <w:uiPriority w:val="0"/>
    <w:pPr>
      <w:ind w:firstLine="420"/>
    </w:pPr>
    <w:rPr>
      <w:szCs w:val="20"/>
    </w:rPr>
  </w:style>
  <w:style w:type="paragraph" w:styleId="9">
    <w:name w:val="Document Map"/>
    <w:basedOn w:val="1"/>
    <w:link w:val="64"/>
    <w:qFormat/>
    <w:uiPriority w:val="99"/>
    <w:rPr>
      <w:rFonts w:ascii="宋体"/>
      <w:sz w:val="18"/>
      <w:szCs w:val="18"/>
    </w:rPr>
  </w:style>
  <w:style w:type="paragraph" w:styleId="10">
    <w:name w:val="annotation text"/>
    <w:basedOn w:val="1"/>
    <w:link w:val="60"/>
    <w:qFormat/>
    <w:uiPriority w:val="99"/>
    <w:pPr>
      <w:jc w:val="left"/>
    </w:pPr>
  </w:style>
  <w:style w:type="paragraph" w:styleId="11">
    <w:name w:val="Body Text"/>
    <w:basedOn w:val="1"/>
    <w:next w:val="12"/>
    <w:qFormat/>
    <w:uiPriority w:val="0"/>
    <w:pPr>
      <w:spacing w:after="120"/>
    </w:pPr>
    <w:rPr>
      <w:sz w:val="28"/>
    </w:rPr>
  </w:style>
  <w:style w:type="paragraph" w:customStyle="1" w:styleId="12">
    <w:name w:val="一级条标题"/>
    <w:basedOn w:val="13"/>
    <w:next w:val="14"/>
    <w:qFormat/>
    <w:uiPriority w:val="0"/>
    <w:pPr>
      <w:numPr>
        <w:ilvl w:val="1"/>
        <w:numId w:val="3"/>
      </w:numPr>
      <w:tabs>
        <w:tab w:val="left" w:pos="810"/>
        <w:tab w:val="left" w:pos="1265"/>
      </w:tabs>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13">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14">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15">
    <w:name w:val="Body Text Indent"/>
    <w:basedOn w:val="1"/>
    <w:next w:val="11"/>
    <w:link w:val="62"/>
    <w:qFormat/>
    <w:uiPriority w:val="99"/>
    <w:pPr>
      <w:spacing w:line="200" w:lineRule="exact"/>
      <w:ind w:firstLine="301"/>
    </w:pPr>
    <w:rPr>
      <w:sz w:val="24"/>
      <w:szCs w:val="20"/>
    </w:rPr>
  </w:style>
  <w:style w:type="paragraph" w:styleId="16">
    <w:name w:val="Plain Text"/>
    <w:basedOn w:val="1"/>
    <w:qFormat/>
    <w:uiPriority w:val="0"/>
    <w:pPr>
      <w:spacing w:beforeLines="50" w:afterLines="50" w:line="400" w:lineRule="exact"/>
    </w:pPr>
    <w:rPr>
      <w:rFonts w:ascii="宋体" w:hAnsi="Courier New"/>
      <w:szCs w:val="24"/>
    </w:rPr>
  </w:style>
  <w:style w:type="paragraph" w:styleId="17">
    <w:name w:val="footer"/>
    <w:basedOn w:val="1"/>
    <w:link w:val="34"/>
    <w:unhideWhenUsed/>
    <w:qFormat/>
    <w:uiPriority w:val="99"/>
    <w:pPr>
      <w:tabs>
        <w:tab w:val="center" w:pos="4153"/>
        <w:tab w:val="right" w:pos="8306"/>
      </w:tabs>
      <w:snapToGrid w:val="0"/>
      <w:jc w:val="left"/>
    </w:pPr>
    <w:rPr>
      <w:sz w:val="18"/>
      <w:szCs w:val="18"/>
    </w:rPr>
  </w:style>
  <w:style w:type="paragraph" w:styleId="18">
    <w:name w:val="envelope return"/>
    <w:basedOn w:val="1"/>
    <w:qFormat/>
    <w:uiPriority w:val="0"/>
    <w:pPr>
      <w:snapToGrid w:val="0"/>
    </w:pPr>
    <w:rPr>
      <w:rFonts w:ascii="Arial" w:hAnsi="Arial" w:eastAsia="宋体"/>
      <w:szCs w:val="24"/>
    </w:rPr>
  </w:style>
  <w:style w:type="paragraph" w:styleId="19">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21"/>
    <w:qFormat/>
    <w:uiPriority w:val="39"/>
    <w:pPr>
      <w:spacing w:before="120"/>
      <w:jc w:val="left"/>
    </w:pPr>
    <w:rPr>
      <w:b/>
      <w:caps/>
      <w:sz w:val="22"/>
    </w:rPr>
  </w:style>
  <w:style w:type="paragraph" w:styleId="21">
    <w:name w:val="toc 2"/>
    <w:basedOn w:val="1"/>
    <w:next w:val="1"/>
    <w:unhideWhenUsed/>
    <w:qFormat/>
    <w:uiPriority w:val="39"/>
    <w:pPr>
      <w:ind w:left="420" w:leftChars="200"/>
    </w:pPr>
  </w:style>
  <w:style w:type="paragraph" w:styleId="22">
    <w:name w:val="Normal (Web)"/>
    <w:basedOn w:val="1"/>
    <w:unhideWhenUsed/>
    <w:qFormat/>
    <w:uiPriority w:val="0"/>
    <w:pPr>
      <w:spacing w:before="100" w:beforeAutospacing="1" w:after="100" w:afterAutospacing="1"/>
    </w:pPr>
    <w:rPr>
      <w:rFonts w:ascii="宋体" w:hAnsi="宋体" w:cs="宋体"/>
      <w:szCs w:val="24"/>
    </w:rPr>
  </w:style>
  <w:style w:type="paragraph" w:styleId="23">
    <w:name w:val="annotation subject"/>
    <w:basedOn w:val="10"/>
    <w:next w:val="10"/>
    <w:link w:val="61"/>
    <w:semiHidden/>
    <w:unhideWhenUsed/>
    <w:qFormat/>
    <w:uiPriority w:val="99"/>
    <w:rPr>
      <w:b/>
      <w:bCs/>
    </w:rPr>
  </w:style>
  <w:style w:type="paragraph" w:styleId="24">
    <w:name w:val="Body Text First Indent"/>
    <w:basedOn w:val="1"/>
    <w:next w:val="1"/>
    <w:qFormat/>
    <w:uiPriority w:val="0"/>
    <w:pPr>
      <w:spacing w:after="120"/>
      <w:ind w:firstLine="420"/>
    </w:pPr>
    <w:rPr>
      <w:rFonts w:ascii="Tahoma" w:hAnsi="Tahoma" w:eastAsia="Times New Roman"/>
      <w:szCs w:val="24"/>
    </w:rPr>
  </w:style>
  <w:style w:type="paragraph" w:styleId="25">
    <w:name w:val="Body Text First Indent 2"/>
    <w:basedOn w:val="15"/>
    <w:next w:val="1"/>
    <w:link w:val="63"/>
    <w:semiHidden/>
    <w:unhideWhenUsed/>
    <w:qFormat/>
    <w:uiPriority w:val="99"/>
    <w:pPr>
      <w:spacing w:after="120" w:line="240" w:lineRule="auto"/>
      <w:ind w:left="420" w:leftChars="200" w:firstLine="420" w:firstLineChars="200"/>
    </w:pPr>
    <w:rPr>
      <w:sz w:val="21"/>
      <w:szCs w:val="22"/>
    </w:rPr>
  </w:style>
  <w:style w:type="table" w:styleId="27">
    <w:name w:val="Table Grid"/>
    <w:basedOn w:val="26"/>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Hyperlink"/>
    <w:unhideWhenUsed/>
    <w:qFormat/>
    <w:uiPriority w:val="99"/>
    <w:rPr>
      <w:color w:val="0563C1" w:themeColor="hyperlink"/>
      <w:u w:val="single"/>
      <w14:textFill>
        <w14:solidFill>
          <w14:schemeClr w14:val="hlink"/>
        </w14:solidFill>
      </w14:textFill>
    </w:rPr>
  </w:style>
  <w:style w:type="character" w:styleId="32">
    <w:name w:val="annotation reference"/>
    <w:basedOn w:val="28"/>
    <w:semiHidden/>
    <w:unhideWhenUsed/>
    <w:qFormat/>
    <w:uiPriority w:val="99"/>
    <w:rPr>
      <w:sz w:val="21"/>
      <w:szCs w:val="21"/>
    </w:rPr>
  </w:style>
  <w:style w:type="character" w:customStyle="1" w:styleId="33">
    <w:name w:val="页眉 字符"/>
    <w:basedOn w:val="28"/>
    <w:link w:val="19"/>
    <w:qFormat/>
    <w:uiPriority w:val="99"/>
    <w:rPr>
      <w:sz w:val="18"/>
      <w:szCs w:val="18"/>
    </w:rPr>
  </w:style>
  <w:style w:type="character" w:customStyle="1" w:styleId="34">
    <w:name w:val="页脚 字符"/>
    <w:basedOn w:val="28"/>
    <w:link w:val="17"/>
    <w:qFormat/>
    <w:uiPriority w:val="99"/>
    <w:rPr>
      <w:sz w:val="18"/>
      <w:szCs w:val="18"/>
    </w:rPr>
  </w:style>
  <w:style w:type="paragraph" w:styleId="35">
    <w:name w:val="List Paragraph"/>
    <w:basedOn w:val="1"/>
    <w:link w:val="38"/>
    <w:qFormat/>
    <w:uiPriority w:val="34"/>
    <w:pPr>
      <w:spacing w:line="360" w:lineRule="auto"/>
      <w:ind w:firstLine="420" w:firstLineChars="200"/>
    </w:pPr>
    <w:rPr>
      <w:rFonts w:eastAsia="宋体"/>
      <w:sz w:val="24"/>
    </w:rPr>
  </w:style>
  <w:style w:type="paragraph" w:customStyle="1" w:styleId="36">
    <w:name w:val="正文2"/>
    <w:basedOn w:val="1"/>
    <w:link w:val="37"/>
    <w:qFormat/>
    <w:uiPriority w:val="0"/>
    <w:pPr>
      <w:spacing w:line="360" w:lineRule="auto"/>
      <w:ind w:firstLine="200" w:firstLineChars="200"/>
    </w:pPr>
    <w:rPr>
      <w:rFonts w:eastAsia="宋体" w:cs="Times New Roman" w:asciiTheme="majorEastAsia" w:hAnsiTheme="majorEastAsia"/>
      <w:sz w:val="24"/>
      <w:szCs w:val="24"/>
    </w:rPr>
  </w:style>
  <w:style w:type="character" w:customStyle="1" w:styleId="37">
    <w:name w:val="正文2 字符"/>
    <w:link w:val="36"/>
    <w:qFormat/>
    <w:uiPriority w:val="0"/>
    <w:rPr>
      <w:rFonts w:eastAsia="宋体" w:cs="Times New Roman" w:asciiTheme="majorEastAsia" w:hAnsiTheme="majorEastAsia"/>
      <w:sz w:val="24"/>
      <w:szCs w:val="24"/>
    </w:rPr>
  </w:style>
  <w:style w:type="character" w:customStyle="1" w:styleId="38">
    <w:name w:val="列表段落 字符"/>
    <w:link w:val="35"/>
    <w:qFormat/>
    <w:locked/>
    <w:uiPriority w:val="34"/>
    <w:rPr>
      <w:rFonts w:eastAsia="宋体"/>
      <w:sz w:val="24"/>
    </w:rPr>
  </w:style>
  <w:style w:type="character" w:customStyle="1" w:styleId="39">
    <w:name w:val="标题 1 字符"/>
    <w:basedOn w:val="28"/>
    <w:link w:val="3"/>
    <w:qFormat/>
    <w:uiPriority w:val="9"/>
    <w:rPr>
      <w:rFonts w:eastAsia="黑体"/>
      <w:b/>
      <w:bCs/>
      <w:kern w:val="44"/>
      <w:sz w:val="36"/>
      <w:szCs w:val="44"/>
    </w:rPr>
  </w:style>
  <w:style w:type="character" w:customStyle="1" w:styleId="40">
    <w:name w:val="标题 2 字符"/>
    <w:basedOn w:val="28"/>
    <w:link w:val="4"/>
    <w:qFormat/>
    <w:uiPriority w:val="9"/>
    <w:rPr>
      <w:rFonts w:eastAsia="黑体" w:asciiTheme="majorHAnsi" w:hAnsiTheme="majorHAnsi" w:cstheme="majorBidi"/>
      <w:b/>
      <w:bCs/>
      <w:sz w:val="32"/>
      <w:szCs w:val="32"/>
    </w:rPr>
  </w:style>
  <w:style w:type="character" w:customStyle="1" w:styleId="41">
    <w:name w:val="标题 3 字符"/>
    <w:basedOn w:val="28"/>
    <w:link w:val="5"/>
    <w:qFormat/>
    <w:uiPriority w:val="9"/>
    <w:rPr>
      <w:rFonts w:eastAsia="黑体"/>
      <w:b/>
      <w:bCs/>
      <w:sz w:val="30"/>
      <w:szCs w:val="32"/>
    </w:rPr>
  </w:style>
  <w:style w:type="paragraph" w:customStyle="1" w:styleId="42">
    <w:name w:val="☆ 正文"/>
    <w:basedOn w:val="1"/>
    <w:qFormat/>
    <w:uiPriority w:val="0"/>
    <w:rPr>
      <w:rFonts w:ascii="Calibri" w:hAnsi="Calibri" w:eastAsia="宋体" w:cs="Times New Roman"/>
    </w:rPr>
  </w:style>
  <w:style w:type="paragraph" w:customStyle="1" w:styleId="43">
    <w:name w:val="_正文"/>
    <w:basedOn w:val="1"/>
    <w:qFormat/>
    <w:uiPriority w:val="0"/>
  </w:style>
  <w:style w:type="table" w:customStyle="1" w:styleId="44">
    <w:name w:val="清单表 4 - 着色 11"/>
    <w:basedOn w:val="26"/>
    <w:qFormat/>
    <w:uiPriority w:val="4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5">
    <w:name w:val="清单表 3 - 着色 11"/>
    <w:basedOn w:val="26"/>
    <w:qFormat/>
    <w:uiPriority w:val="48"/>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paragraph" w:customStyle="1" w:styleId="46">
    <w:name w:val="JS标题1级"/>
    <w:next w:val="47"/>
    <w:qFormat/>
    <w:uiPriority w:val="0"/>
    <w:pPr>
      <w:numPr>
        <w:ilvl w:val="0"/>
        <w:numId w:val="4"/>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47">
    <w:name w:val="JS正文(段落)"/>
    <w:qFormat/>
    <w:uiPriority w:val="0"/>
    <w:pPr>
      <w:tabs>
        <w:tab w:val="center" w:pos="4201"/>
        <w:tab w:val="right" w:leader="dot" w:pos="9298"/>
      </w:tabs>
      <w:autoSpaceDE w:val="0"/>
      <w:autoSpaceDN w:val="0"/>
      <w:spacing w:before="120" w:after="120" w:line="360" w:lineRule="auto"/>
      <w:ind w:firstLine="420" w:firstLineChars="200"/>
      <w:jc w:val="both"/>
    </w:pPr>
    <w:rPr>
      <w:rFonts w:ascii="宋体" w:hAnsi="Times New Roman" w:eastAsia="宋体" w:cs="Times New Roman"/>
      <w:sz w:val="21"/>
      <w:lang w:val="en-US" w:eastAsia="zh-CN" w:bidi="ar-SA"/>
    </w:rPr>
  </w:style>
  <w:style w:type="paragraph" w:customStyle="1" w:styleId="48">
    <w:name w:val="JS标题2级"/>
    <w:basedOn w:val="12"/>
    <w:next w:val="47"/>
    <w:qFormat/>
    <w:uiPriority w:val="0"/>
    <w:pPr>
      <w:numPr>
        <w:numId w:val="4"/>
      </w:numPr>
      <w:spacing w:before="50" w:after="50"/>
    </w:pPr>
  </w:style>
  <w:style w:type="paragraph" w:customStyle="1" w:styleId="49">
    <w:name w:val="JS标题3级"/>
    <w:basedOn w:val="48"/>
    <w:qFormat/>
    <w:uiPriority w:val="0"/>
    <w:pPr>
      <w:numPr>
        <w:ilvl w:val="2"/>
      </w:numPr>
      <w:outlineLvl w:val="3"/>
    </w:pPr>
  </w:style>
  <w:style w:type="table" w:customStyle="1" w:styleId="50">
    <w:name w:val="网格型20"/>
    <w:basedOn w:val="2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1">
    <w:name w:val="接口表格"/>
    <w:basedOn w:val="1"/>
    <w:qFormat/>
    <w:uiPriority w:val="0"/>
    <w:pPr>
      <w:snapToGrid w:val="0"/>
    </w:pPr>
    <w:rPr>
      <w:rFonts w:ascii="宋体" w:hAnsi="宋体"/>
      <w:szCs w:val="21"/>
    </w:rPr>
  </w:style>
  <w:style w:type="paragraph" w:customStyle="1" w:styleId="52">
    <w:name w:val="*Body Text"/>
    <w:qFormat/>
    <w:uiPriority w:val="0"/>
    <w:pPr>
      <w:spacing w:line="360" w:lineRule="auto"/>
    </w:pPr>
    <w:rPr>
      <w:rFonts w:ascii="Futura Lt" w:hAnsi="Futura Lt" w:eastAsia="宋体" w:cs="Futura Lt"/>
      <w:sz w:val="21"/>
      <w:szCs w:val="21"/>
      <w:lang w:val="en-US" w:eastAsia="en-US" w:bidi="ar-SA"/>
    </w:rPr>
  </w:style>
  <w:style w:type="paragraph" w:customStyle="1" w:styleId="53">
    <w:name w:val="FC正文"/>
    <w:basedOn w:val="1"/>
    <w:qFormat/>
    <w:uiPriority w:val="0"/>
    <w:pPr>
      <w:widowControl/>
      <w:spacing w:line="360" w:lineRule="auto"/>
      <w:ind w:firstLine="200" w:firstLineChars="200"/>
    </w:pPr>
    <w:rPr>
      <w:szCs w:val="24"/>
    </w:rPr>
  </w:style>
  <w:style w:type="paragraph" w:customStyle="1" w:styleId="54">
    <w:name w:val="一体化二"/>
    <w:basedOn w:val="1"/>
    <w:qFormat/>
    <w:uiPriority w:val="0"/>
    <w:pPr>
      <w:keepNext/>
      <w:keepLines/>
      <w:numPr>
        <w:ilvl w:val="1"/>
        <w:numId w:val="5"/>
      </w:numPr>
      <w:spacing w:line="480" w:lineRule="auto"/>
      <w:outlineLvl w:val="1"/>
    </w:pPr>
    <w:rPr>
      <w:rFonts w:ascii="宋体" w:hAnsi="宋体"/>
      <w:b/>
      <w:bCs/>
      <w:sz w:val="24"/>
      <w:szCs w:val="32"/>
    </w:rPr>
  </w:style>
  <w:style w:type="paragraph" w:customStyle="1" w:styleId="55">
    <w:name w:val="一体化三"/>
    <w:basedOn w:val="5"/>
    <w:qFormat/>
    <w:uiPriority w:val="0"/>
    <w:pPr>
      <w:numPr>
        <w:numId w:val="5"/>
      </w:numPr>
      <w:spacing w:line="415" w:lineRule="auto"/>
    </w:pPr>
    <w:rPr>
      <w:sz w:val="24"/>
    </w:rPr>
  </w:style>
  <w:style w:type="paragraph" w:customStyle="1" w:styleId="56">
    <w:name w:val="一体化四"/>
    <w:basedOn w:val="55"/>
    <w:qFormat/>
    <w:uiPriority w:val="0"/>
    <w:pPr>
      <w:numPr>
        <w:ilvl w:val="3"/>
      </w:numPr>
      <w:outlineLvl w:val="3"/>
    </w:pPr>
  </w:style>
  <w:style w:type="paragraph" w:customStyle="1" w:styleId="57">
    <w:name w:val="一体化五"/>
    <w:basedOn w:val="56"/>
    <w:qFormat/>
    <w:uiPriority w:val="0"/>
    <w:pPr>
      <w:numPr>
        <w:ilvl w:val="4"/>
      </w:numPr>
      <w:outlineLvl w:val="4"/>
    </w:pPr>
  </w:style>
  <w:style w:type="paragraph" w:customStyle="1" w:styleId="58">
    <w:name w:val="纯文本1"/>
    <w:basedOn w:val="1"/>
    <w:qFormat/>
    <w:uiPriority w:val="0"/>
    <w:rPr>
      <w:rFonts w:ascii="宋体" w:hAnsi="Courier New"/>
      <w:szCs w:val="20"/>
    </w:rPr>
  </w:style>
  <w:style w:type="paragraph" w:customStyle="1" w:styleId="59">
    <w:name w:val="纯文本2"/>
    <w:basedOn w:val="1"/>
    <w:qFormat/>
    <w:uiPriority w:val="0"/>
    <w:rPr>
      <w:rFonts w:ascii="宋体" w:hAnsi="Courier New" w:eastAsia="楷体_GB2312" w:cs="Times New Roman"/>
      <w:sz w:val="26"/>
      <w:szCs w:val="20"/>
    </w:rPr>
  </w:style>
  <w:style w:type="character" w:customStyle="1" w:styleId="60">
    <w:name w:val="批注文字 字符"/>
    <w:basedOn w:val="28"/>
    <w:link w:val="10"/>
    <w:qFormat/>
    <w:uiPriority w:val="99"/>
    <w:rPr>
      <w:rFonts w:asciiTheme="minorHAnsi" w:hAnsiTheme="minorHAnsi" w:eastAsiaTheme="minorEastAsia" w:cstheme="minorBidi"/>
      <w:kern w:val="2"/>
      <w:sz w:val="21"/>
      <w:szCs w:val="22"/>
    </w:rPr>
  </w:style>
  <w:style w:type="character" w:customStyle="1" w:styleId="61">
    <w:name w:val="批注主题 字符"/>
    <w:basedOn w:val="60"/>
    <w:link w:val="23"/>
    <w:semiHidden/>
    <w:qFormat/>
    <w:uiPriority w:val="99"/>
    <w:rPr>
      <w:rFonts w:asciiTheme="minorHAnsi" w:hAnsiTheme="minorHAnsi" w:eastAsiaTheme="minorEastAsia" w:cstheme="minorBidi"/>
      <w:b/>
      <w:bCs/>
      <w:kern w:val="2"/>
      <w:sz w:val="21"/>
      <w:szCs w:val="22"/>
    </w:rPr>
  </w:style>
  <w:style w:type="character" w:customStyle="1" w:styleId="62">
    <w:name w:val="正文文本缩进 字符"/>
    <w:basedOn w:val="28"/>
    <w:link w:val="15"/>
    <w:qFormat/>
    <w:uiPriority w:val="99"/>
    <w:rPr>
      <w:rFonts w:asciiTheme="minorHAnsi" w:hAnsiTheme="minorHAnsi" w:eastAsiaTheme="minorEastAsia" w:cstheme="minorBidi"/>
      <w:kern w:val="2"/>
      <w:sz w:val="24"/>
    </w:rPr>
  </w:style>
  <w:style w:type="character" w:customStyle="1" w:styleId="63">
    <w:name w:val="正文文本首行缩进 2 字符"/>
    <w:basedOn w:val="62"/>
    <w:link w:val="25"/>
    <w:semiHidden/>
    <w:qFormat/>
    <w:uiPriority w:val="99"/>
    <w:rPr>
      <w:rFonts w:asciiTheme="minorHAnsi" w:hAnsiTheme="minorHAnsi" w:eastAsiaTheme="minorEastAsia" w:cstheme="minorBidi"/>
      <w:kern w:val="2"/>
      <w:sz w:val="21"/>
      <w:szCs w:val="22"/>
    </w:rPr>
  </w:style>
  <w:style w:type="character" w:customStyle="1" w:styleId="64">
    <w:name w:val="文档结构图 字符"/>
    <w:link w:val="9"/>
    <w:qFormat/>
    <w:uiPriority w:val="99"/>
    <w:rPr>
      <w:rFonts w:ascii="宋体" w:hAnsiTheme="minorHAnsi" w:eastAsiaTheme="minorEastAsia" w:cstheme="minorBidi"/>
      <w:kern w:val="2"/>
      <w:sz w:val="18"/>
      <w:szCs w:val="18"/>
    </w:rPr>
  </w:style>
  <w:style w:type="paragraph" w:customStyle="1" w:styleId="65">
    <w:name w:val="方案正文"/>
    <w:basedOn w:val="1"/>
    <w:qFormat/>
    <w:uiPriority w:val="0"/>
    <w:pPr>
      <w:snapToGrid w:val="0"/>
      <w:spacing w:line="440" w:lineRule="atLeast"/>
    </w:pPr>
    <w:rPr>
      <w:rFonts w:ascii="Times New Roman" w:hAnsi="Times New Roman"/>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63</Pages>
  <Words>22573</Words>
  <Characters>24258</Characters>
  <Lines>251</Lines>
  <Paragraphs>70</Paragraphs>
  <TotalTime>5</TotalTime>
  <ScaleCrop>false</ScaleCrop>
  <LinksUpToDate>false</LinksUpToDate>
  <CharactersWithSpaces>24441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2023-10-08T13:26:00Z</dcterms:created>
  <dc:creator>jiashu zhou</dc:creator>
  <cp:lastModifiedBy>WPS_1656312169</cp:lastModifiedBy>
  <dcterms:modified xsi:type="dcterms:W3CDTF">2025-11-04T07:27:42Z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8F31B275065341CA849701C890EACF29</vt:lpwstr>
  </property>
  <property fmtid="{D5CDD505-2E9C-101B-9397-08002B2CF9AE}" pid="4" name="KSOTemplateDocerSaveRecord">
    <vt:lpwstr>eyJoZGlkIjoiYzk3Yzc4YzMwZTBlYzEzNmMwZDU4YWM5MjNiYTU1NjgiLCJ1c2VySWQiOiIxMzg4MDYzNTM4In0=</vt:lpwstr>
  </property>
</Properties>
</file>